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47" w:rsidRPr="000A2E47" w:rsidRDefault="000A2E47" w:rsidP="000A2E47">
      <w:pPr>
        <w:jc w:val="both"/>
      </w:pPr>
      <w:bookmarkStart w:id="0" w:name="Q_492"/>
      <w:bookmarkEnd w:id="0"/>
      <w:r w:rsidRPr="000A2E47">
        <w:rPr>
          <w:b/>
        </w:rPr>
        <w:t>492</w:t>
      </w:r>
      <w:r>
        <w:tab/>
      </w:r>
      <w:r w:rsidRPr="000A2E47">
        <w:t>Buongiorno, sono una affezionata «scroccona» della vostra cortesia e competenza. Questa volta avrei bisogno di un paio di indicazioni corredate di riferimenti normativi anche su richiesta del D.S. per quanto riguarda: la valutazione della materia «alternativa», in particolare la voce «studio assistito»: l'insegnante che lo svolge è tenuto a partecipare agli scrutini / dare un giudizio che deve comparire nel documento di valutazione contribuire a determinare il voto di comportamento, ecc? possono essere inseriti giudizi ulteriori, sempre per quanto riguarda il documento di valutazione quadrimestrale, su proposta degli insegnanti di Religione e con approvazione del collegio docenti, oltre ai cinque «canonici»....</w:t>
      </w:r>
      <w:r>
        <w:t xml:space="preserve"> </w:t>
      </w:r>
      <w:r w:rsidRPr="000A2E47">
        <w:t>ad esempio «eccellente», «discreto», ecc?</w:t>
      </w:r>
    </w:p>
    <w:p w:rsidR="000A2E47" w:rsidRPr="000A2E47" w:rsidRDefault="000A2E47" w:rsidP="000A2E47">
      <w:pPr>
        <w:jc w:val="both"/>
      </w:pPr>
      <w:r>
        <w:tab/>
      </w:r>
      <w:r>
        <w:tab/>
      </w:r>
      <w:r>
        <w:tab/>
      </w:r>
      <w:r>
        <w:tab/>
        <w:t xml:space="preserve">                                   </w:t>
      </w:r>
      <w:r w:rsidRPr="000A2E47">
        <w:t>La ringrazio.</w:t>
      </w:r>
    </w:p>
    <w:p w:rsidR="000A2E47" w:rsidRDefault="000A2E47"/>
    <w:p w:rsidR="000A2E47" w:rsidRPr="000A2E47" w:rsidRDefault="000A2E47" w:rsidP="000A2E47">
      <w:pPr>
        <w:jc w:val="both"/>
        <w:rPr>
          <w:i/>
        </w:rPr>
      </w:pPr>
      <w:r w:rsidRPr="000A2E47">
        <w:rPr>
          <w:i/>
        </w:rPr>
        <w:t xml:space="preserve">Tra le diverse opzioni di attività alternative, solo per l'attività didattica specificamente programmata, è prevista una valutazione alle stesse condizioni dell'IRC (dopo la sentenza del </w:t>
      </w:r>
      <w:hyperlink r:id="rId4" w:history="1">
        <w:r w:rsidRPr="00481DB5">
          <w:rPr>
            <w:rStyle w:val="Collegamentoipertestuale"/>
            <w:i/>
          </w:rPr>
          <w:t>TAR Lazio 924/11</w:t>
        </w:r>
      </w:hyperlink>
      <w:r w:rsidRPr="000A2E47">
        <w:rPr>
          <w:i/>
        </w:rPr>
        <w:t>). Per lo studio individuale assistito non è prevista alcuna valutazione, in quanto manca il presupposto fondamentale di una progettazione</w:t>
      </w:r>
      <w:r w:rsidR="00481DB5">
        <w:rPr>
          <w:i/>
        </w:rPr>
        <w:t xml:space="preserve"> </w:t>
      </w:r>
      <w:r w:rsidRPr="000A2E47">
        <w:rPr>
          <w:i/>
        </w:rPr>
        <w:t>definita almeno dal collegio dei docenti (nel qual caso lo studio individuale si trasformerebbe in attività didattica alternativa). Del resto, lo studio individuale richiede una semplice assistenza del docente ad attività autonomamente scelte ed impostate dallo studente (cfr</w:t>
      </w:r>
      <w:hyperlink r:id="rId5" w:history="1">
        <w:r w:rsidRPr="00481DB5">
          <w:rPr>
            <w:rStyle w:val="Collegamentoipertestuale"/>
            <w:i/>
          </w:rPr>
          <w:t>. CM 3</w:t>
        </w:r>
        <w:r w:rsidRPr="00481DB5">
          <w:rPr>
            <w:rStyle w:val="Collegamentoipertestuale"/>
            <w:i/>
          </w:rPr>
          <w:t>1</w:t>
        </w:r>
        <w:r w:rsidRPr="00481DB5">
          <w:rPr>
            <w:rStyle w:val="Collegamentoipertestuale"/>
            <w:i/>
          </w:rPr>
          <w:t>6/87)</w:t>
        </w:r>
      </w:hyperlink>
      <w:r w:rsidRPr="000A2E47">
        <w:rPr>
          <w:i/>
        </w:rPr>
        <w:t xml:space="preserve">. Pertanto, il docente che ha eventualmente assistito lo studente nel suo studio individuale non ha alcun obbligo di partecipare allo scrutinio. Solo l'annuale ordinanza ministeriale sugli esami di Stato (da ultimo si veda l'OM 13/13) prevede che, solo ai fini del credito scolastico, si possa tenere conto dello studio individuale (ma senza la necessaria partecipazione del docente allo scrutinio), a condizione che l'arricchimento culturale derivato da tale studio sia «certificato e valutato dalla scuola secondo modalità deliberate dalla istituzione scolastica medesima». Per quanto riguarda la scala di giudizi da usare nella valutazione dell'IRC, essa può essere sempre modificata e adattata alle esigenze della scuola e degli IdR con delibera del collegio dei docenti, ai sensi dell'art. </w:t>
      </w:r>
      <w:hyperlink r:id="rId6" w:anchor="Art_4_c4" w:history="1">
        <w:r w:rsidRPr="00481DB5">
          <w:rPr>
            <w:rStyle w:val="Collegamentoipertestuale"/>
            <w:i/>
          </w:rPr>
          <w:t>4, c. 4, del DPR</w:t>
        </w:r>
        <w:r w:rsidRPr="00481DB5">
          <w:rPr>
            <w:rStyle w:val="Collegamentoipertestuale"/>
            <w:i/>
          </w:rPr>
          <w:t xml:space="preserve"> </w:t>
        </w:r>
        <w:r w:rsidRPr="00481DB5">
          <w:rPr>
            <w:rStyle w:val="Collegamentoipertestuale"/>
            <w:i/>
          </w:rPr>
          <w:t>275/99</w:t>
        </w:r>
      </w:hyperlink>
      <w:r w:rsidRPr="000A2E47">
        <w:rPr>
          <w:i/>
        </w:rPr>
        <w:t>.</w:t>
      </w:r>
    </w:p>
    <w:p w:rsidR="000A2E47" w:rsidRDefault="000A2E47"/>
    <w:p w:rsidR="000A2E47" w:rsidRDefault="000A2E47"/>
    <w:p w:rsidR="000A2E47" w:rsidRPr="000A2E47" w:rsidRDefault="000A2E47" w:rsidP="000A2E47">
      <w:pPr>
        <w:jc w:val="both"/>
      </w:pPr>
      <w:bookmarkStart w:id="1" w:name="Q_493"/>
      <w:bookmarkEnd w:id="1"/>
      <w:r w:rsidRPr="000A2E47">
        <w:rPr>
          <w:b/>
        </w:rPr>
        <w:t>493</w:t>
      </w:r>
      <w:r>
        <w:tab/>
      </w:r>
      <w:r w:rsidRPr="000A2E47">
        <w:t>Gentile dr. Cicatelli, sono una IdR nella scuola secondaria di secondo grado. Arrivata a scuola, la vicepreside mi ha comunicato che dovevo tenere in classe due ragazzi (sempre della stessa classe) non a</w:t>
      </w:r>
      <w:r w:rsidR="00481DB5">
        <w:t>vv</w:t>
      </w:r>
      <w:r w:rsidRPr="000A2E47">
        <w:t>alentisi perché la</w:t>
      </w:r>
      <w:r w:rsidR="00481DB5">
        <w:t xml:space="preserve"> </w:t>
      </w:r>
      <w:r w:rsidRPr="000A2E47">
        <w:t xml:space="preserve">docente, nominata nelle attività alternative, era in malattia. </w:t>
      </w:r>
      <w:r w:rsidR="00481DB5">
        <w:t>I</w:t>
      </w:r>
      <w:r w:rsidRPr="000A2E47">
        <w:t>o le ho spiegato che non sono tenuta a tenere in classe alunni non a</w:t>
      </w:r>
      <w:r w:rsidR="00481DB5">
        <w:t>vv</w:t>
      </w:r>
      <w:r w:rsidRPr="000A2E47">
        <w:t xml:space="preserve">alentisi e lei ha risposto che sono tenuta alla vigilanza. Siccome la malattia della docente si protrae da più di un mese, vorrei sapere come devo comportarmi. </w:t>
      </w:r>
      <w:r>
        <w:t xml:space="preserve">                    </w:t>
      </w:r>
      <w:r>
        <w:tab/>
      </w:r>
      <w:r>
        <w:tab/>
      </w:r>
      <w:r>
        <w:tab/>
      </w:r>
      <w:r>
        <w:tab/>
      </w:r>
      <w:r>
        <w:tab/>
      </w:r>
      <w:r>
        <w:tab/>
      </w:r>
      <w:r>
        <w:tab/>
      </w:r>
      <w:r>
        <w:tab/>
      </w:r>
      <w:r w:rsidRPr="000A2E47">
        <w:t>Grazie.</w:t>
      </w:r>
    </w:p>
    <w:p w:rsidR="000A2E47" w:rsidRDefault="000A2E47"/>
    <w:p w:rsidR="000A2E47" w:rsidRPr="000A2E47" w:rsidRDefault="000A2E47" w:rsidP="000A2E47">
      <w:pPr>
        <w:jc w:val="both"/>
        <w:rPr>
          <w:i/>
        </w:rPr>
      </w:pPr>
      <w:r w:rsidRPr="000A2E47">
        <w:rPr>
          <w:i/>
        </w:rPr>
        <w:t>L'IdR non ha alcun obbligo di tenere in classe gli alunni non a</w:t>
      </w:r>
      <w:r>
        <w:rPr>
          <w:i/>
        </w:rPr>
        <w:t>vv</w:t>
      </w:r>
      <w:r w:rsidRPr="000A2E47">
        <w:rPr>
          <w:i/>
        </w:rPr>
        <w:t>alentisi, neanche per mera vigilanza. È possibile, unicamente sul piano</w:t>
      </w:r>
      <w:r w:rsidR="00481DB5">
        <w:rPr>
          <w:i/>
        </w:rPr>
        <w:t xml:space="preserve"> </w:t>
      </w:r>
      <w:r w:rsidRPr="000A2E47">
        <w:rPr>
          <w:i/>
        </w:rPr>
        <w:t>della cortesia personale, prestarsi a collaborare con la scuola per tamponare situazioni di emergenza, ma un'assenza di un mese non può essere considerata tale. Pertanto, dopo aver dato la propria collaborazione di fronte all'emergenza del primo momento, l'IdR può legittimamente rifiutarsi ed eventualmente impugnare l'ordine di servizio scritto che dovesse imporreun incarico del genere (ovviamente non vale una richiesta solo verbale). Di fronte a un'assenza di tale durata, il dirigente è tenuto ad assumere un supplente o comunque ad affidare i non a</w:t>
      </w:r>
      <w:r>
        <w:rPr>
          <w:i/>
        </w:rPr>
        <w:t>vv</w:t>
      </w:r>
      <w:r w:rsidRPr="000A2E47">
        <w:rPr>
          <w:i/>
        </w:rPr>
        <w:t>alentisi ad altri docenti che non siano di IRC per non contraddire la scelta compiuta dagli interessati.</w:t>
      </w:r>
    </w:p>
    <w:p w:rsidR="000A2E47" w:rsidRPr="000A2E47" w:rsidRDefault="000A2E47">
      <w:r>
        <w:t xml:space="preserve">                                                              </w:t>
      </w:r>
      <w:r w:rsidRPr="000A2E47">
        <w:t xml:space="preserve">a </w:t>
      </w:r>
      <w:r>
        <w:t xml:space="preserve"> Cur</w:t>
      </w:r>
      <w:r w:rsidRPr="000A2E47">
        <w:t>a di SERGIO CICATELLI</w:t>
      </w:r>
    </w:p>
    <w:sectPr w:rsidR="000A2E47" w:rsidRPr="000A2E47" w:rsidSect="0036713F">
      <w:pgSz w:w="12240" w:h="15840"/>
      <w:pgMar w:top="1417" w:right="1740" w:bottom="111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61E"/>
    <w:rsid w:val="00041B17"/>
    <w:rsid w:val="000A2E47"/>
    <w:rsid w:val="0036713F"/>
    <w:rsid w:val="00481DB5"/>
    <w:rsid w:val="0052561E"/>
    <w:rsid w:val="00583C41"/>
    <w:rsid w:val="00F640D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713F"/>
    <w:pPr>
      <w:widowControl w:val="0"/>
      <w:autoSpaceDE w:val="0"/>
      <w:autoSpaceDN w:val="0"/>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1DB5"/>
    <w:rPr>
      <w:color w:val="0000FF" w:themeColor="hyperlink"/>
      <w:u w:val="single"/>
    </w:rPr>
  </w:style>
  <w:style w:type="character" w:styleId="Collegamentovisitato">
    <w:name w:val="FollowedHyperlink"/>
    <w:basedOn w:val="Carpredefinitoparagrafo"/>
    <w:uiPriority w:val="99"/>
    <w:semiHidden/>
    <w:unhideWhenUsed/>
    <w:rsid w:val="00481D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STI%20DI%20LEGGI%20E%20CIRCOLARI/DPR%2008-03-1999%20-%20n%20275.doc" TargetMode="External"/><Relationship Id="rId5" Type="http://schemas.openxmlformats.org/officeDocument/2006/relationships/hyperlink" Target="../TESTI%20DI%20LEGGI%20E%20CIRCOLARI/Cir%20Gab%2028-10-1987%20-%20n%20316.doc" TargetMode="External"/><Relationship Id="rId4" Type="http://schemas.openxmlformats.org/officeDocument/2006/relationships/hyperlink" Target="../TESTI%20DI%20LEGGI%20E%20CIRCOLARI/Sentenza%20Tar%20Lazio%20924%20del%2001-02-2011.doc.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 </dc:creator>
  <cp:keywords/>
  <dc:description/>
  <cp:lastModifiedBy>FRee</cp:lastModifiedBy>
  <cp:revision>4</cp:revision>
  <dcterms:created xsi:type="dcterms:W3CDTF">2014-03-22T14:24:00Z</dcterms:created>
  <dcterms:modified xsi:type="dcterms:W3CDTF">2014-03-23T19:12:00Z</dcterms:modified>
</cp:coreProperties>
</file>