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57" w:rsidRPr="004016B3" w:rsidRDefault="002F4E57" w:rsidP="002F4E57">
      <w:pPr>
        <w:pStyle w:val="NormaleWeb"/>
        <w:jc w:val="center"/>
        <w:rPr>
          <w:b/>
          <w:bCs/>
        </w:rPr>
      </w:pPr>
      <w:r w:rsidRPr="004016B3">
        <w:rPr>
          <w:b/>
          <w:bCs/>
        </w:rPr>
        <w:t>OM 371 del 29/12/1994</w:t>
      </w:r>
    </w:p>
    <w:p w:rsidR="002F4E57" w:rsidRPr="004016B3" w:rsidRDefault="002F4E57" w:rsidP="002F4E57">
      <w:pPr>
        <w:pStyle w:val="NormaleWeb"/>
        <w:jc w:val="center"/>
        <w:rPr>
          <w:b/>
          <w:bCs/>
        </w:rPr>
      </w:pPr>
      <w:r w:rsidRPr="004016B3">
        <w:rPr>
          <w:b/>
        </w:rPr>
        <w:t>Oggetto</w:t>
      </w:r>
      <w:r w:rsidRPr="004016B3">
        <w:t>: Disciplina per il conferimento al personale docente delle supplenze nelle scuole materne, elementari e negli istituti di istruzione secondaria ed artistica</w:t>
      </w:r>
    </w:p>
    <w:p w:rsidR="002F4E57" w:rsidRPr="004016B3" w:rsidRDefault="002F4E57" w:rsidP="002F4E57">
      <w:pPr>
        <w:pStyle w:val="NormaleWeb"/>
        <w:jc w:val="center"/>
      </w:pPr>
      <w:r w:rsidRPr="004016B3">
        <w:rPr>
          <w:b/>
          <w:bCs/>
        </w:rPr>
        <w:t>Art. 15 - Assegnazione di sede priorità nella scelta della sede docenti handicappati ai sensi dell'art. 21 L. 104/1992 -</w:t>
      </w:r>
    </w:p>
    <w:p w:rsidR="002F4E57" w:rsidRPr="004016B3" w:rsidRDefault="002F4E57" w:rsidP="004016B3">
      <w:pPr>
        <w:pStyle w:val="NormaleWeb"/>
        <w:jc w:val="both"/>
      </w:pPr>
      <w:r w:rsidRPr="004016B3">
        <w:t xml:space="preserve">1. I provveditori agli studi, ai fini del conferimento delle nomine, in data 31 luglio affiggono all'albo dell'ufficio un avviso contenente la data in cui sarà pubblicata la prima convocazione per le nomine. </w:t>
      </w:r>
    </w:p>
    <w:p w:rsidR="002F4E57" w:rsidRPr="004016B3" w:rsidRDefault="002F4E57" w:rsidP="004016B3">
      <w:pPr>
        <w:pStyle w:val="NormaleWeb"/>
        <w:jc w:val="both"/>
      </w:pPr>
      <w:r w:rsidRPr="004016B3">
        <w:t xml:space="preserve">2. Ciascuna convocazione per le nomine deve contenere la data in cui sarà pubblicata all'albo la successiva convocazione. Ogni convocazione deve restare all'albo fino all'affissione della successiva. </w:t>
      </w:r>
    </w:p>
    <w:p w:rsidR="002F4E57" w:rsidRPr="004016B3" w:rsidRDefault="002F4E57" w:rsidP="004016B3">
      <w:pPr>
        <w:pStyle w:val="NormaleWeb"/>
        <w:jc w:val="both"/>
      </w:pPr>
      <w:r w:rsidRPr="004016B3">
        <w:t xml:space="preserve">3. Una parte dell'albo dell'ufficio, nel periodo delle nomine, deve essere riservata esclusivamente all'affissione delle convocazioni di nomina. </w:t>
      </w:r>
    </w:p>
    <w:p w:rsidR="002F4E57" w:rsidRPr="004016B3" w:rsidRDefault="002F4E57" w:rsidP="004016B3">
      <w:pPr>
        <w:pStyle w:val="NormaleWeb"/>
        <w:jc w:val="both"/>
      </w:pPr>
      <w:r w:rsidRPr="004016B3">
        <w:t xml:space="preserve">4. Almeno 24 ore prima di ogni convocazione deve essere affisso all'albo dell'ufficio, ai fini del conferimento delle rispettive nomine, un elenco delle disponibilità delle cattedre e dei posti, distinti a seconda della loro copertura con supplenza annuale ovvero con supplenza temporanea da disporsi sino al termine delle attività didattiche. Agli aspiranti sarà offerta l'intera disponibilità dei posti caratterizzati come specificato. Gli insegnanti interessati hanno facoltà, per la medesima graduatoria, di rinunziare ad una supplenza annuale per accettarne una temporanea. </w:t>
      </w:r>
    </w:p>
    <w:p w:rsidR="002F4E57" w:rsidRPr="004016B3" w:rsidRDefault="002F4E57" w:rsidP="004016B3">
      <w:pPr>
        <w:pStyle w:val="NormaleWeb"/>
        <w:jc w:val="both"/>
      </w:pPr>
      <w:r w:rsidRPr="004016B3">
        <w:t xml:space="preserve">5. I docenti convocati possono farsi rappresentare con delega da persona di propria fiducia ovvero possono delegare il provveditore agli studi espressamente ai fini dell'accettazione della nomina. La delega, da compilare in carta semplice secondo il fac-simile allegato n. 23, deve pervenire al provveditorato almeno 5 giorni prima della data di convocazione. La delega all'accettazione ha validità annuale e deve intendersi tacitamente revocata qualora l'aspirante si presenti direttamente il giorno della convocazione. Essa può essere rilasciata per alcune ovvero per tutte le graduatorie richieste. In caso di delega al provveditore agli studi ai fini dell'accettazione della nomina, saranno conferite prima le nomine per supplenza annuale e poi quelle per supplenza temporanea, con riguardo alla posizione in graduatoria degli aspiranti. </w:t>
      </w:r>
    </w:p>
    <w:p w:rsidR="002F4E57" w:rsidRPr="004016B3" w:rsidRDefault="002F4E57" w:rsidP="004016B3">
      <w:pPr>
        <w:pStyle w:val="NormaleWeb"/>
        <w:jc w:val="both"/>
      </w:pPr>
      <w:r w:rsidRPr="004016B3">
        <w:t xml:space="preserve">6. Gli aspiranti convocati che non si presentino di persona ovvero che non abbiano provveduto a rilasciare, per ciascun anno scolastico, apposita delega, come sopra stabilito, saranno considerati rinunciatari e, conseguentemente, depennati dalla relativa graduatoria secondo quanto previsto dall'art. 7. </w:t>
      </w:r>
    </w:p>
    <w:p w:rsidR="002F4E57" w:rsidRPr="004016B3" w:rsidRDefault="002F4E57" w:rsidP="004016B3">
      <w:pPr>
        <w:pStyle w:val="NormaleWeb"/>
        <w:jc w:val="both"/>
      </w:pPr>
      <w:r w:rsidRPr="004016B3">
        <w:t xml:space="preserve">7. I docenti convocati devono, personalmente o a mezzo della persona da essi delegata, accettare contestualmente la nomina conferita, senza condizioni o riserve. </w:t>
      </w:r>
    </w:p>
    <w:p w:rsidR="002F4E57" w:rsidRPr="004016B3" w:rsidRDefault="002F4E57" w:rsidP="004016B3">
      <w:pPr>
        <w:pStyle w:val="NormaleWeb"/>
        <w:jc w:val="both"/>
      </w:pPr>
      <w:bookmarkStart w:id="0" w:name="art_15_c_8"/>
      <w:bookmarkEnd w:id="0"/>
      <w:r w:rsidRPr="008B4AD4">
        <w:rPr>
          <w:b/>
        </w:rPr>
        <w:t>8</w:t>
      </w:r>
      <w:r w:rsidRPr="004016B3">
        <w:t xml:space="preserve">. Fatta salva la completa disponibilità dei posti da conferirsi per supplenza secondo l'ordine di graduatoria, qualora all'atto del conferimento di nomina di supplenza da parte del provveditore agli studi, l'avente titolo risulti già in servizio, a titolo di supplenza temporanea disposta dal capo d'istituto previa autorizzazione del provveditore agli studi, su posto vacante e disponibile per l'intera durata dell'anno scolastico, la nomina del provveditore, per ragioni di continuità didattica, è conferita d'ufficio all'interessato sul medesimo posto già occupato purché tale conferma assicuri al docente una nomina per un numero di ore almeno pari a quello delle altre nomine residue al momento conferibili. Tale disposizione non opera nel caso in cui il posto assegnato dal capo </w:t>
      </w:r>
      <w:r w:rsidRPr="004016B3">
        <w:lastRenderedPageBreak/>
        <w:t xml:space="preserve">d'istituto è conferibile per supplenza temporanea da disporsi sino al termine delle attività didattiche ed il docente interessato ha titolo, per la posizione in graduatoria, ad optare per una supplenza annuale. </w:t>
      </w:r>
    </w:p>
    <w:p w:rsidR="002F4E57" w:rsidRPr="004016B3" w:rsidRDefault="002F4E57" w:rsidP="004016B3">
      <w:pPr>
        <w:pStyle w:val="NormaleWeb"/>
        <w:jc w:val="both"/>
      </w:pPr>
      <w:r w:rsidRPr="004016B3">
        <w:t xml:space="preserve">9. La mancata accettazione, l'accettazione condizionata o con riserva della nomina, comporta la decadenza della nomina stessa e il depennamento dalla relativa graduatoria provinciale secondo quanto previsto dall'art. 7. </w:t>
      </w:r>
    </w:p>
    <w:p w:rsidR="002F4E57" w:rsidRPr="004016B3" w:rsidRDefault="002F4E57" w:rsidP="004016B3">
      <w:pPr>
        <w:pStyle w:val="NormaleWeb"/>
        <w:jc w:val="both"/>
      </w:pPr>
      <w:r w:rsidRPr="004016B3">
        <w:t xml:space="preserve">10. I docenti nominati per orario inferiore a cattedra hanno titolo al completamento d'orario, per la stessa graduatoria, con le ore che si rendano successivamente disponibili. </w:t>
      </w:r>
    </w:p>
    <w:p w:rsidR="002F4E57" w:rsidRPr="004016B3" w:rsidRDefault="002F4E57" w:rsidP="004016B3">
      <w:pPr>
        <w:pStyle w:val="NormaleWeb"/>
        <w:jc w:val="both"/>
      </w:pPr>
      <w:r w:rsidRPr="004016B3">
        <w:t xml:space="preserve">11. Il completamento d'orario, da disporre esclusivamente con ore di insegnamento appartenenti alla medesima classe di concorso, deve essere realizzato evitando per quanto possibile il frazionamento delle cattedre. </w:t>
      </w:r>
    </w:p>
    <w:p w:rsidR="002F4E57" w:rsidRPr="004016B3" w:rsidRDefault="002F4E57" w:rsidP="004016B3">
      <w:pPr>
        <w:pStyle w:val="NormaleWeb"/>
        <w:jc w:val="both"/>
      </w:pPr>
      <w:r w:rsidRPr="004016B3">
        <w:t xml:space="preserve">12. Nei confronti del docente che abbia accettato una nomina per orario inferiore a cattedra, può essere conferita altra nomina per altra classe di concorso, qualora non risulti possibile il completamento fino all'orario di cattedra per la stessa classe di concorso, purché non vengano superate complessivamente le 18 ore settimanali di insegnamento. </w:t>
      </w:r>
    </w:p>
    <w:p w:rsidR="002F4E57" w:rsidRPr="004016B3" w:rsidRDefault="002F4E57" w:rsidP="004016B3">
      <w:pPr>
        <w:pStyle w:val="NormaleWeb"/>
        <w:jc w:val="both"/>
      </w:pPr>
      <w:bookmarkStart w:id="1" w:name="art_15_c_13"/>
      <w:bookmarkEnd w:id="1"/>
      <w:r w:rsidRPr="00632FF1">
        <w:rPr>
          <w:b/>
        </w:rPr>
        <w:t>13</w:t>
      </w:r>
      <w:r w:rsidRPr="004016B3">
        <w:t xml:space="preserve">. Le operazioni di assegnazione di personale già espletate non possono in ogni caso essere rinnovate per successiva disponibilità di posti comunque verificatasi. </w:t>
      </w:r>
    </w:p>
    <w:p w:rsidR="002F4E57" w:rsidRPr="004016B3" w:rsidRDefault="002F4E57" w:rsidP="004016B3">
      <w:pPr>
        <w:pStyle w:val="NormaleWeb"/>
        <w:jc w:val="both"/>
      </w:pPr>
      <w:bookmarkStart w:id="2" w:name="art_15_c_14"/>
      <w:bookmarkEnd w:id="2"/>
      <w:r w:rsidRPr="00137A8D">
        <w:rPr>
          <w:b/>
        </w:rPr>
        <w:t>14</w:t>
      </w:r>
      <w:r w:rsidRPr="004016B3">
        <w:t xml:space="preserve">. Non si dà luogo a spostamenti di </w:t>
      </w:r>
      <w:r w:rsidRPr="00FD6E82">
        <w:rPr>
          <w:b/>
        </w:rPr>
        <w:t>personale dopo il ventesimo giorno</w:t>
      </w:r>
      <w:r w:rsidRPr="004016B3">
        <w:t xml:space="preserve"> dall'inizio delle lezioni, ovvero delle attività educative, anche se connessi a provvedimenti aventi effetti limitati all'anno scolastico medesimo. </w:t>
      </w:r>
    </w:p>
    <w:p w:rsidR="002F4E57" w:rsidRPr="004016B3" w:rsidRDefault="002F4E57" w:rsidP="004016B3">
      <w:pPr>
        <w:pStyle w:val="NormaleWeb"/>
        <w:jc w:val="both"/>
      </w:pPr>
      <w:r w:rsidRPr="004016B3">
        <w:t xml:space="preserve">15. Salvo che non sia possibile provvedere altrimenti, non è consentito attribuire nuove nomine per orari che complessivamente comportino una retribuzione base superiore a quella spettante al corrispondente professore di ruolo di prima nomina. </w:t>
      </w:r>
    </w:p>
    <w:p w:rsidR="002F4E57" w:rsidRPr="004016B3" w:rsidRDefault="002F4E57" w:rsidP="004016B3">
      <w:pPr>
        <w:pStyle w:val="NormaleWeb"/>
        <w:jc w:val="both"/>
      </w:pPr>
      <w:r w:rsidRPr="004016B3">
        <w:t xml:space="preserve">16. L'eventuale assegnazione in 3 scuole e in non più di due comuni, verrà disposta tenendo particolarmente presente il criterio della facile raggiungibilità </w:t>
      </w:r>
    </w:p>
    <w:p w:rsidR="002F4E57" w:rsidRPr="004016B3" w:rsidRDefault="002F4E57" w:rsidP="004016B3">
      <w:pPr>
        <w:pStyle w:val="NormaleWeb"/>
        <w:jc w:val="both"/>
      </w:pPr>
      <w:r w:rsidRPr="004016B3">
        <w:t xml:space="preserve">17. Copia del provvedimento di nomina è trasmessa al capo d'istituto competente. </w:t>
      </w:r>
    </w:p>
    <w:p w:rsidR="002F4E57" w:rsidRPr="004016B3" w:rsidRDefault="002F4E57" w:rsidP="004016B3">
      <w:pPr>
        <w:pStyle w:val="NormaleWeb"/>
        <w:jc w:val="both"/>
      </w:pPr>
      <w:r w:rsidRPr="004016B3">
        <w:t xml:space="preserve">18. Il provvedimento di nomina deve essere altresì consegnato all'interessato all'atto dell'accettazione ovvero notificato telegraficamente o a mezzo lettera raccomandata con avviso di ricevimento, in caso di accettazione con delega. </w:t>
      </w:r>
    </w:p>
    <w:p w:rsidR="002F4E57" w:rsidRPr="004016B3" w:rsidRDefault="002F4E57" w:rsidP="004016B3">
      <w:pPr>
        <w:pStyle w:val="NormaleWeb"/>
        <w:jc w:val="both"/>
      </w:pPr>
      <w:r w:rsidRPr="004016B3">
        <w:t xml:space="preserve">19. I docenti che abbiano accettato la nomina debbono assumere servizio, salvo gravi e comprovati motivi, alla data stabilita per l'inizio dell'anno scolastico o, in caso di nomina conferita successivamente, non oltre due giorni dal conferimento della nomina. </w:t>
      </w:r>
    </w:p>
    <w:p w:rsidR="002F4E57" w:rsidRPr="004016B3" w:rsidRDefault="002F4E57" w:rsidP="004016B3">
      <w:pPr>
        <w:pStyle w:val="NormaleWeb"/>
        <w:jc w:val="both"/>
      </w:pPr>
      <w:r w:rsidRPr="004016B3">
        <w:t xml:space="preserve">20. Nel giorno successivo a quello fissato nel provvedimento di nomina, il capo d'istituto ha l'obbligo di comunicare, con telegramma o fonogramma, al provveditore agli studi l'avvenuta ovvero la mancata assunzione del servizio da parte dell'insegnante. </w:t>
      </w:r>
    </w:p>
    <w:p w:rsidR="002F4E57" w:rsidRPr="004016B3" w:rsidRDefault="002F4E57" w:rsidP="004016B3">
      <w:pPr>
        <w:pStyle w:val="NormaleWeb"/>
        <w:jc w:val="both"/>
      </w:pPr>
      <w:r w:rsidRPr="004016B3">
        <w:t xml:space="preserve">21. La comunicazione dell'avvenuta assunzione del servizio deve essere inoltre inviata da parte del capo d'istituto di cui al comma precedente, ai capi d'istituto delle scuole presso cui i docenti hanno presentato domanda di supplenza. </w:t>
      </w:r>
    </w:p>
    <w:p w:rsidR="002F4E57" w:rsidRPr="004016B3" w:rsidRDefault="002F4E57" w:rsidP="004016B3">
      <w:pPr>
        <w:pStyle w:val="NormaleWeb"/>
        <w:jc w:val="both"/>
      </w:pPr>
      <w:r w:rsidRPr="004016B3">
        <w:lastRenderedPageBreak/>
        <w:t>22. I capi d'istituto, ricevuta la predetta comunicazione, disporranno le opportune annotazioni nelle graduatorie di circolo o d'istituto tenuto conto che, per l'anno scolastico cui si riferisce la nomina, la posizione del docente nelle predette graduatorie non è utile al conseguimento di supplenze temporanee di competenza dei capi d'istituto medesimi. (</w:t>
      </w:r>
      <w:r w:rsidRPr="0088361C">
        <w:rPr>
          <w:b/>
        </w:rPr>
        <w:t>1</w:t>
      </w:r>
      <w:r w:rsidRPr="004016B3">
        <w:t xml:space="preserve">) </w:t>
      </w:r>
    </w:p>
    <w:p w:rsidR="002F4E57" w:rsidRPr="004016B3" w:rsidRDefault="002F4E57" w:rsidP="004016B3">
      <w:pPr>
        <w:pStyle w:val="NormaleWeb"/>
        <w:jc w:val="both"/>
      </w:pPr>
      <w:r w:rsidRPr="004016B3">
        <w:t xml:space="preserve">23. L'elenco delle nomine disposte dal provveditore agli studi, deve essere pubblicato all'albo e vi resta affisso per 15 giorni con l'annotazione della avvenuta o mancata accettazione. </w:t>
      </w:r>
    </w:p>
    <w:p w:rsidR="002F4E57" w:rsidRPr="004016B3" w:rsidRDefault="002F4E57" w:rsidP="004016B3">
      <w:pPr>
        <w:pStyle w:val="NormaleWeb"/>
        <w:jc w:val="both"/>
      </w:pPr>
      <w:bookmarkStart w:id="3" w:name="art_15_c_24"/>
      <w:bookmarkEnd w:id="3"/>
      <w:r w:rsidRPr="00372946">
        <w:rPr>
          <w:b/>
        </w:rPr>
        <w:t>24.</w:t>
      </w:r>
      <w:r w:rsidRPr="004016B3">
        <w:t xml:space="preserve"> Il docente che accetti una nomina per supplenza annuale non ha più titolo al conferimento di nomine per altre graduatorie, anche se relative ad altri ordini e gradi di istruzione. </w:t>
      </w:r>
    </w:p>
    <w:p w:rsidR="002F4E57" w:rsidRPr="004016B3" w:rsidRDefault="002F4E57" w:rsidP="004016B3">
      <w:pPr>
        <w:pStyle w:val="NormaleWeb"/>
        <w:jc w:val="both"/>
      </w:pPr>
      <w:r w:rsidRPr="004016B3">
        <w:t>25. La mancata assunzione del servizio salvo giustificato motivo, entro il termine stabilito ivi compreso il caso di nomina conferita per orario inferiore a cattedra, comporta la decadenza dalla nomina e il depennamento da tutte le graduatorie provinciali con facoltà di reinserimento per l'anno scolastico successivo secondo quanto stabilito all'art. 7 - settimo comma. (</w:t>
      </w:r>
      <w:r w:rsidRPr="0088361C">
        <w:rPr>
          <w:b/>
        </w:rPr>
        <w:t>2</w:t>
      </w:r>
      <w:r w:rsidRPr="004016B3">
        <w:t xml:space="preserve">) </w:t>
      </w:r>
    </w:p>
    <w:p w:rsidR="002F4E57" w:rsidRPr="004016B3" w:rsidRDefault="002F4E57" w:rsidP="004016B3">
      <w:pPr>
        <w:pStyle w:val="NormaleWeb"/>
        <w:jc w:val="both"/>
      </w:pPr>
      <w:r w:rsidRPr="004016B3">
        <w:t xml:space="preserve">26. La nomina ha in ogni caso decorrenza giuridica ed economica dalla data di effettiva assunzione del servizio, anche nell'ipotesi in cui questa sia avvenuta, per giustificato motivo, con ritardo sul termine stabilito. La nomina del personale , il quale in base a vigenti norme di legge non possa assumere servizio, ha effetto ai soli fini giuridici e non a quelli economici, nei limiti di durata della nomina stessa. </w:t>
      </w:r>
    </w:p>
    <w:p w:rsidR="002F4E57" w:rsidRPr="004016B3" w:rsidRDefault="002F4E57" w:rsidP="004016B3">
      <w:pPr>
        <w:pStyle w:val="NormaleWeb"/>
        <w:jc w:val="both"/>
      </w:pPr>
      <w:r w:rsidRPr="004016B3">
        <w:t xml:space="preserve">27. Dopo l'assunzione del servizio non è consentito abbandonarlo per assumere l'insegnamento in altra scuola o istituto. Il docente che, dopo aver assunto servizio, abbandoni l'insegnamento, non può essere assunto in altra scuola o istituto anche di altra provincia. A tal fine il provveditore agli studi trasmette per conoscenza agli altri provveditori il decreto di decadenza dell'aspirante dal diritto a conseguire nomine per l'anno scolastico. </w:t>
      </w:r>
    </w:p>
    <w:p w:rsidR="002F4E57" w:rsidRPr="004016B3" w:rsidRDefault="002F4E57" w:rsidP="004016B3">
      <w:pPr>
        <w:pStyle w:val="NormaleWeb"/>
        <w:jc w:val="both"/>
      </w:pPr>
      <w:r w:rsidRPr="004016B3">
        <w:t xml:space="preserve">28. Ai sensi dell'art. 21 -I comma- della legge 5 febbraio 1992, n 104, il docente portatore di handicap con un grado di invalidità superiore ai due terzi o con minorazioni iscritte alle categorie prima, seconda e terza della tabella A annessa alla legge 10 agosto 1950, n. 648, ove destinatario di nomina </w:t>
      </w:r>
      <w:proofErr w:type="spellStart"/>
      <w:r w:rsidRPr="004016B3">
        <w:t>provveditoriale</w:t>
      </w:r>
      <w:proofErr w:type="spellEnd"/>
      <w:r w:rsidRPr="004016B3">
        <w:t xml:space="preserve"> secondo l'ordine di graduatoria, ha diritto di priorità nella scelta della sede, senza che tuttavia ciò comporti alcun vantaggio, in termini retributivi, rispetto ai docenti che lo precedono nella graduatoria medesima. A tal fine i provveditori agli studi, con riguardo alla situazione dei posti disponibili ed alle relative fasi di convocazione degli aspiranti a supplenza, disporranno che - esclusivamente nell'ambito di opzioni pari o inferiori a quanto al docente handicappato risulta al momento conferibile per diritto di graduatoria (supplenza annuale, supplenza temporanea con riguardo al numero delle ore) - il medesimo docente scelga la sede con priorità rispetto agli altri candidati che lo precedono con le medesime opportunità di opzione. Le condizioni che danno titolo alla priorità nella scelta della sede devono essere comprovate nella documentazione allegata alla domanda secondo quanto specificato al precedente art. 4 comma 11. </w:t>
      </w:r>
    </w:p>
    <w:p w:rsidR="002F4E57" w:rsidRPr="004016B3" w:rsidRDefault="002F4E57" w:rsidP="004016B3">
      <w:pPr>
        <w:pStyle w:val="NormaleWeb"/>
        <w:jc w:val="both"/>
      </w:pPr>
      <w:r w:rsidRPr="004016B3">
        <w:t>(</w:t>
      </w:r>
      <w:r w:rsidRPr="0088361C">
        <w:rPr>
          <w:b/>
        </w:rPr>
        <w:t>1</w:t>
      </w:r>
      <w:r w:rsidRPr="004016B3">
        <w:t xml:space="preserve">) Relativamente alla scuola secondaria il docente non ha titolo a conseguire supplenze sempreché la nomina sia stata conferita per l'intero orario di cattedra. </w:t>
      </w:r>
    </w:p>
    <w:p w:rsidR="002F4E57" w:rsidRPr="004016B3" w:rsidRDefault="002F4E57" w:rsidP="004016B3">
      <w:pPr>
        <w:pStyle w:val="NormaleWeb"/>
        <w:jc w:val="both"/>
      </w:pPr>
      <w:r w:rsidRPr="004016B3">
        <w:t>(</w:t>
      </w:r>
      <w:r w:rsidRPr="0088361C">
        <w:rPr>
          <w:b/>
        </w:rPr>
        <w:t>2</w:t>
      </w:r>
      <w:r w:rsidRPr="004016B3">
        <w:t xml:space="preserve">) Tale depennamento opera anche nell'ipotesi di nomina con delega al provveditore e successiva mancata assunzione del servizio. </w:t>
      </w:r>
    </w:p>
    <w:p w:rsidR="002F4E57" w:rsidRPr="004016B3" w:rsidRDefault="002F4E57" w:rsidP="004016B3">
      <w:pPr>
        <w:pStyle w:val="NormaleWeb"/>
        <w:jc w:val="both"/>
      </w:pPr>
      <w:r w:rsidRPr="004016B3">
        <w:t> </w:t>
      </w:r>
    </w:p>
    <w:p w:rsidR="001C5EEC" w:rsidRPr="004016B3" w:rsidRDefault="001C5EEC">
      <w:pPr>
        <w:rPr>
          <w:rFonts w:ascii="Times New Roman" w:hAnsi="Times New Roman"/>
          <w:lang w:val="it-IT"/>
        </w:rPr>
      </w:pPr>
    </w:p>
    <w:sectPr w:rsidR="001C5EEC" w:rsidRPr="004016B3" w:rsidSect="001C5E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283"/>
  <w:characterSpacingControl w:val="doNotCompress"/>
  <w:compat/>
  <w:rsids>
    <w:rsidRoot w:val="002F4E57"/>
    <w:rsid w:val="00054CA6"/>
    <w:rsid w:val="00111B7E"/>
    <w:rsid w:val="00137A8D"/>
    <w:rsid w:val="001C5EEC"/>
    <w:rsid w:val="001E14B0"/>
    <w:rsid w:val="001F5F5C"/>
    <w:rsid w:val="002261EC"/>
    <w:rsid w:val="00250B78"/>
    <w:rsid w:val="002534F8"/>
    <w:rsid w:val="00281103"/>
    <w:rsid w:val="002F4E57"/>
    <w:rsid w:val="0032052F"/>
    <w:rsid w:val="0033097D"/>
    <w:rsid w:val="00372946"/>
    <w:rsid w:val="003A6394"/>
    <w:rsid w:val="004016B3"/>
    <w:rsid w:val="004677D1"/>
    <w:rsid w:val="00472559"/>
    <w:rsid w:val="005914B4"/>
    <w:rsid w:val="00632FF1"/>
    <w:rsid w:val="006E624D"/>
    <w:rsid w:val="0088361C"/>
    <w:rsid w:val="008B4AD4"/>
    <w:rsid w:val="00984449"/>
    <w:rsid w:val="00AA5DC3"/>
    <w:rsid w:val="00BB34CE"/>
    <w:rsid w:val="00C43D7C"/>
    <w:rsid w:val="00C60EFC"/>
    <w:rsid w:val="00F4368D"/>
    <w:rsid w:val="00FC51AA"/>
    <w:rsid w:val="00FD6E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559"/>
    <w:pPr>
      <w:spacing w:after="0" w:line="240" w:lineRule="auto"/>
    </w:pPr>
    <w:rPr>
      <w:sz w:val="24"/>
      <w:szCs w:val="24"/>
    </w:rPr>
  </w:style>
  <w:style w:type="paragraph" w:styleId="Titolo1">
    <w:name w:val="heading 1"/>
    <w:basedOn w:val="Normale"/>
    <w:next w:val="Normale"/>
    <w:link w:val="Titolo1Carattere"/>
    <w:uiPriority w:val="9"/>
    <w:qFormat/>
    <w:rsid w:val="00472559"/>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472559"/>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472559"/>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472559"/>
    <w:pPr>
      <w:keepNext/>
      <w:spacing w:before="240" w:after="60"/>
      <w:outlineLvl w:val="3"/>
    </w:pPr>
    <w:rPr>
      <w:rFonts w:cstheme="majorBidi"/>
      <w:b/>
      <w:bCs/>
      <w:sz w:val="28"/>
      <w:szCs w:val="28"/>
    </w:rPr>
  </w:style>
  <w:style w:type="paragraph" w:styleId="Titolo5">
    <w:name w:val="heading 5"/>
    <w:basedOn w:val="Normale"/>
    <w:next w:val="Normale"/>
    <w:link w:val="Titolo5Carattere"/>
    <w:uiPriority w:val="9"/>
    <w:semiHidden/>
    <w:unhideWhenUsed/>
    <w:qFormat/>
    <w:rsid w:val="00472559"/>
    <w:pPr>
      <w:spacing w:before="240" w:after="60"/>
      <w:outlineLvl w:val="4"/>
    </w:pPr>
    <w:rPr>
      <w:rFonts w:cstheme="majorBidi"/>
      <w:b/>
      <w:bCs/>
      <w:i/>
      <w:iCs/>
      <w:sz w:val="26"/>
      <w:szCs w:val="26"/>
    </w:rPr>
  </w:style>
  <w:style w:type="paragraph" w:styleId="Titolo6">
    <w:name w:val="heading 6"/>
    <w:basedOn w:val="Normale"/>
    <w:next w:val="Normale"/>
    <w:link w:val="Titolo6Carattere"/>
    <w:uiPriority w:val="9"/>
    <w:semiHidden/>
    <w:unhideWhenUsed/>
    <w:qFormat/>
    <w:rsid w:val="00472559"/>
    <w:pPr>
      <w:spacing w:before="240" w:after="60"/>
      <w:outlineLvl w:val="5"/>
    </w:pPr>
    <w:rPr>
      <w:rFonts w:cstheme="majorBidi"/>
      <w:b/>
      <w:bCs/>
      <w:sz w:val="22"/>
      <w:szCs w:val="22"/>
    </w:rPr>
  </w:style>
  <w:style w:type="paragraph" w:styleId="Titolo7">
    <w:name w:val="heading 7"/>
    <w:basedOn w:val="Normale"/>
    <w:next w:val="Normale"/>
    <w:link w:val="Titolo7Carattere"/>
    <w:uiPriority w:val="9"/>
    <w:semiHidden/>
    <w:unhideWhenUsed/>
    <w:qFormat/>
    <w:rsid w:val="00472559"/>
    <w:pPr>
      <w:spacing w:before="240" w:after="60"/>
      <w:outlineLvl w:val="6"/>
    </w:pPr>
    <w:rPr>
      <w:rFonts w:cstheme="majorBidi"/>
    </w:rPr>
  </w:style>
  <w:style w:type="paragraph" w:styleId="Titolo8">
    <w:name w:val="heading 8"/>
    <w:basedOn w:val="Normale"/>
    <w:next w:val="Normale"/>
    <w:link w:val="Titolo8Carattere"/>
    <w:uiPriority w:val="9"/>
    <w:semiHidden/>
    <w:unhideWhenUsed/>
    <w:qFormat/>
    <w:rsid w:val="00472559"/>
    <w:pPr>
      <w:spacing w:before="240" w:after="60"/>
      <w:outlineLvl w:val="7"/>
    </w:pPr>
    <w:rPr>
      <w:rFonts w:cstheme="majorBidi"/>
      <w:i/>
      <w:iCs/>
    </w:rPr>
  </w:style>
  <w:style w:type="paragraph" w:styleId="Titolo9">
    <w:name w:val="heading 9"/>
    <w:basedOn w:val="Normale"/>
    <w:next w:val="Normale"/>
    <w:link w:val="Titolo9Carattere"/>
    <w:uiPriority w:val="9"/>
    <w:semiHidden/>
    <w:unhideWhenUsed/>
    <w:qFormat/>
    <w:rsid w:val="00472559"/>
    <w:p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55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47255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472559"/>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472559"/>
    <w:rPr>
      <w:rFonts w:cstheme="majorBidi"/>
      <w:b/>
      <w:bCs/>
      <w:sz w:val="28"/>
      <w:szCs w:val="28"/>
    </w:rPr>
  </w:style>
  <w:style w:type="character" w:customStyle="1" w:styleId="Titolo5Carattere">
    <w:name w:val="Titolo 5 Carattere"/>
    <w:basedOn w:val="Carpredefinitoparagrafo"/>
    <w:link w:val="Titolo5"/>
    <w:uiPriority w:val="9"/>
    <w:semiHidden/>
    <w:rsid w:val="00472559"/>
    <w:rPr>
      <w:rFonts w:cstheme="majorBidi"/>
      <w:b/>
      <w:bCs/>
      <w:i/>
      <w:iCs/>
      <w:sz w:val="26"/>
      <w:szCs w:val="26"/>
    </w:rPr>
  </w:style>
  <w:style w:type="character" w:customStyle="1" w:styleId="Titolo6Carattere">
    <w:name w:val="Titolo 6 Carattere"/>
    <w:basedOn w:val="Carpredefinitoparagrafo"/>
    <w:link w:val="Titolo6"/>
    <w:uiPriority w:val="9"/>
    <w:semiHidden/>
    <w:rsid w:val="00472559"/>
    <w:rPr>
      <w:rFonts w:cstheme="majorBidi"/>
      <w:b/>
      <w:bCs/>
    </w:rPr>
  </w:style>
  <w:style w:type="character" w:customStyle="1" w:styleId="Titolo7Carattere">
    <w:name w:val="Titolo 7 Carattere"/>
    <w:basedOn w:val="Carpredefinitoparagrafo"/>
    <w:link w:val="Titolo7"/>
    <w:uiPriority w:val="9"/>
    <w:semiHidden/>
    <w:rsid w:val="00472559"/>
    <w:rPr>
      <w:rFonts w:cstheme="majorBidi"/>
      <w:sz w:val="24"/>
      <w:szCs w:val="24"/>
    </w:rPr>
  </w:style>
  <w:style w:type="character" w:customStyle="1" w:styleId="Titolo8Carattere">
    <w:name w:val="Titolo 8 Carattere"/>
    <w:basedOn w:val="Carpredefinitoparagrafo"/>
    <w:link w:val="Titolo8"/>
    <w:uiPriority w:val="9"/>
    <w:semiHidden/>
    <w:rsid w:val="00472559"/>
    <w:rPr>
      <w:rFonts w:cstheme="majorBidi"/>
      <w:i/>
      <w:iCs/>
      <w:sz w:val="24"/>
      <w:szCs w:val="24"/>
    </w:rPr>
  </w:style>
  <w:style w:type="character" w:customStyle="1" w:styleId="Titolo9Carattere">
    <w:name w:val="Titolo 9 Carattere"/>
    <w:basedOn w:val="Carpredefinitoparagrafo"/>
    <w:link w:val="Titolo9"/>
    <w:uiPriority w:val="9"/>
    <w:semiHidden/>
    <w:rsid w:val="00472559"/>
    <w:rPr>
      <w:rFonts w:asciiTheme="majorHAnsi" w:eastAsiaTheme="majorEastAsia" w:hAnsiTheme="majorHAnsi" w:cstheme="majorBidi"/>
    </w:rPr>
  </w:style>
  <w:style w:type="paragraph" w:styleId="Titolo">
    <w:name w:val="Title"/>
    <w:basedOn w:val="Normale"/>
    <w:next w:val="Normale"/>
    <w:link w:val="TitoloCarattere"/>
    <w:uiPriority w:val="10"/>
    <w:qFormat/>
    <w:rsid w:val="0047255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uiPriority w:val="10"/>
    <w:rsid w:val="00472559"/>
    <w:rPr>
      <w:rFonts w:asciiTheme="majorHAnsi" w:eastAsiaTheme="majorEastAsia" w:hAnsiTheme="majorHAnsi" w:cstheme="majorBidi"/>
      <w:b/>
      <w:bCs/>
      <w:kern w:val="28"/>
      <w:sz w:val="32"/>
      <w:szCs w:val="32"/>
    </w:rPr>
  </w:style>
  <w:style w:type="paragraph" w:styleId="Sottotitolo">
    <w:name w:val="Subtitle"/>
    <w:basedOn w:val="Normale"/>
    <w:next w:val="Normale"/>
    <w:link w:val="SottotitoloCarattere"/>
    <w:uiPriority w:val="11"/>
    <w:qFormat/>
    <w:rsid w:val="00472559"/>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472559"/>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472559"/>
    <w:rPr>
      <w:b/>
      <w:bCs/>
    </w:rPr>
  </w:style>
  <w:style w:type="character" w:styleId="Enfasicorsivo">
    <w:name w:val="Emphasis"/>
    <w:basedOn w:val="Carpredefinitoparagrafo"/>
    <w:uiPriority w:val="20"/>
    <w:qFormat/>
    <w:rsid w:val="00472559"/>
    <w:rPr>
      <w:rFonts w:asciiTheme="minorHAnsi" w:hAnsiTheme="minorHAnsi"/>
      <w:b/>
      <w:i/>
      <w:iCs/>
    </w:rPr>
  </w:style>
  <w:style w:type="paragraph" w:styleId="Nessunaspaziatura">
    <w:name w:val="No Spacing"/>
    <w:basedOn w:val="Normale"/>
    <w:uiPriority w:val="1"/>
    <w:qFormat/>
    <w:rsid w:val="00472559"/>
    <w:rPr>
      <w:szCs w:val="32"/>
    </w:rPr>
  </w:style>
  <w:style w:type="paragraph" w:styleId="Paragrafoelenco">
    <w:name w:val="List Paragraph"/>
    <w:basedOn w:val="Normale"/>
    <w:uiPriority w:val="34"/>
    <w:qFormat/>
    <w:rsid w:val="00472559"/>
    <w:pPr>
      <w:ind w:left="720"/>
      <w:contextualSpacing/>
    </w:pPr>
  </w:style>
  <w:style w:type="paragraph" w:styleId="Citazione">
    <w:name w:val="Quote"/>
    <w:basedOn w:val="Normale"/>
    <w:next w:val="Normale"/>
    <w:link w:val="CitazioneCarattere"/>
    <w:uiPriority w:val="29"/>
    <w:qFormat/>
    <w:rsid w:val="00472559"/>
    <w:rPr>
      <w:i/>
    </w:rPr>
  </w:style>
  <w:style w:type="character" w:customStyle="1" w:styleId="CitazioneCarattere">
    <w:name w:val="Citazione Carattere"/>
    <w:basedOn w:val="Carpredefinitoparagrafo"/>
    <w:link w:val="Citazione"/>
    <w:uiPriority w:val="29"/>
    <w:rsid w:val="00472559"/>
    <w:rPr>
      <w:i/>
      <w:sz w:val="24"/>
      <w:szCs w:val="24"/>
    </w:rPr>
  </w:style>
  <w:style w:type="paragraph" w:styleId="Citazioneintensa">
    <w:name w:val="Intense Quote"/>
    <w:basedOn w:val="Normale"/>
    <w:next w:val="Normale"/>
    <w:link w:val="CitazioneintensaCarattere"/>
    <w:uiPriority w:val="30"/>
    <w:qFormat/>
    <w:rsid w:val="00472559"/>
    <w:pPr>
      <w:ind w:left="720" w:right="720"/>
    </w:pPr>
    <w:rPr>
      <w:b/>
      <w:i/>
      <w:szCs w:val="22"/>
    </w:rPr>
  </w:style>
  <w:style w:type="character" w:customStyle="1" w:styleId="CitazioneintensaCarattere">
    <w:name w:val="Citazione intensa Carattere"/>
    <w:basedOn w:val="Carpredefinitoparagrafo"/>
    <w:link w:val="Citazioneintensa"/>
    <w:uiPriority w:val="30"/>
    <w:rsid w:val="00472559"/>
    <w:rPr>
      <w:b/>
      <w:i/>
      <w:sz w:val="24"/>
    </w:rPr>
  </w:style>
  <w:style w:type="character" w:styleId="Enfasidelicata">
    <w:name w:val="Subtle Emphasis"/>
    <w:uiPriority w:val="19"/>
    <w:qFormat/>
    <w:rsid w:val="00472559"/>
    <w:rPr>
      <w:i/>
      <w:color w:val="5A5A5A" w:themeColor="text1" w:themeTint="A5"/>
    </w:rPr>
  </w:style>
  <w:style w:type="character" w:styleId="Enfasiintensa">
    <w:name w:val="Intense Emphasis"/>
    <w:basedOn w:val="Carpredefinitoparagrafo"/>
    <w:uiPriority w:val="21"/>
    <w:qFormat/>
    <w:rsid w:val="00472559"/>
    <w:rPr>
      <w:b/>
      <w:i/>
      <w:sz w:val="24"/>
      <w:szCs w:val="24"/>
      <w:u w:val="single"/>
    </w:rPr>
  </w:style>
  <w:style w:type="character" w:styleId="Riferimentodelicato">
    <w:name w:val="Subtle Reference"/>
    <w:basedOn w:val="Carpredefinitoparagrafo"/>
    <w:uiPriority w:val="31"/>
    <w:qFormat/>
    <w:rsid w:val="00472559"/>
    <w:rPr>
      <w:sz w:val="24"/>
      <w:szCs w:val="24"/>
      <w:u w:val="single"/>
    </w:rPr>
  </w:style>
  <w:style w:type="character" w:styleId="Riferimentointenso">
    <w:name w:val="Intense Reference"/>
    <w:basedOn w:val="Carpredefinitoparagrafo"/>
    <w:uiPriority w:val="32"/>
    <w:qFormat/>
    <w:rsid w:val="00472559"/>
    <w:rPr>
      <w:b/>
      <w:sz w:val="24"/>
      <w:u w:val="single"/>
    </w:rPr>
  </w:style>
  <w:style w:type="character" w:styleId="Titolodellibro">
    <w:name w:val="Book Title"/>
    <w:basedOn w:val="Carpredefinitoparagrafo"/>
    <w:uiPriority w:val="33"/>
    <w:qFormat/>
    <w:rsid w:val="00472559"/>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472559"/>
    <w:pPr>
      <w:outlineLvl w:val="9"/>
    </w:pPr>
  </w:style>
  <w:style w:type="paragraph" w:styleId="NormaleWeb">
    <w:name w:val="Normal (Web)"/>
    <w:basedOn w:val="Normale"/>
    <w:uiPriority w:val="99"/>
    <w:semiHidden/>
    <w:unhideWhenUsed/>
    <w:rsid w:val="002F4E57"/>
    <w:pPr>
      <w:spacing w:before="100" w:beforeAutospacing="1" w:after="100" w:afterAutospacing="1"/>
    </w:pPr>
    <w:rPr>
      <w:rFonts w:ascii="Times New Roman" w:eastAsia="Times New Roman" w:hAnsi="Times New Roman"/>
      <w:lang w:val="it-IT" w:eastAsia="it-IT" w:bidi="ar-SA"/>
    </w:rPr>
  </w:style>
</w:styles>
</file>

<file path=word/webSettings.xml><?xml version="1.0" encoding="utf-8"?>
<w:webSettings xmlns:r="http://schemas.openxmlformats.org/officeDocument/2006/relationships" xmlns:w="http://schemas.openxmlformats.org/wordprocessingml/2006/main">
  <w:divs>
    <w:div w:id="12849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Autuori</cp:lastModifiedBy>
  <cp:revision>9</cp:revision>
  <dcterms:created xsi:type="dcterms:W3CDTF">2011-11-14T09:57:00Z</dcterms:created>
  <dcterms:modified xsi:type="dcterms:W3CDTF">2016-01-04T14:56:00Z</dcterms:modified>
</cp:coreProperties>
</file>