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6" w:type="dxa"/>
        <w:tblCellMar>
          <w:left w:w="0" w:type="dxa"/>
          <w:right w:w="0" w:type="dxa"/>
        </w:tblCellMar>
        <w:tblLook w:val="04A0"/>
      </w:tblPr>
      <w:tblGrid>
        <w:gridCol w:w="7867"/>
        <w:gridCol w:w="2619"/>
      </w:tblGrid>
      <w:tr w:rsidR="000777BF" w:rsidRPr="002C4FC4" w:rsidTr="000777BF">
        <w:trPr>
          <w:trHeight w:val="567"/>
        </w:trPr>
        <w:tc>
          <w:tcPr>
            <w:tcW w:w="7867" w:type="dxa"/>
            <w:tcMar>
              <w:top w:w="0" w:type="dxa"/>
              <w:left w:w="70" w:type="dxa"/>
              <w:bottom w:w="0" w:type="dxa"/>
              <w:right w:w="70" w:type="dxa"/>
            </w:tcMar>
            <w:hideMark/>
          </w:tcPr>
          <w:p w:rsidR="000777BF" w:rsidRPr="002C4FC4" w:rsidRDefault="000777BF" w:rsidP="00005D6D">
            <w:pPr>
              <w:ind w:right="-1"/>
              <w:jc w:val="both"/>
            </w:pPr>
            <w:r w:rsidRPr="002C4FC4">
              <w:rPr>
                <w:caps/>
                <w:sz w:val="22"/>
                <w:szCs w:val="22"/>
              </w:rPr>
              <w:t xml:space="preserve">                                                                  REPUBBLICA ITALIANA</w:t>
            </w:r>
          </w:p>
        </w:tc>
        <w:tc>
          <w:tcPr>
            <w:tcW w:w="2619" w:type="dxa"/>
            <w:tcMar>
              <w:top w:w="0" w:type="dxa"/>
              <w:left w:w="70" w:type="dxa"/>
              <w:bottom w:w="0" w:type="dxa"/>
              <w:right w:w="70" w:type="dxa"/>
            </w:tcMar>
            <w:hideMark/>
          </w:tcPr>
          <w:p w:rsidR="000777BF" w:rsidRPr="002C4FC4" w:rsidRDefault="000777BF" w:rsidP="000777BF">
            <w:pPr>
              <w:ind w:right="-786"/>
              <w:jc w:val="both"/>
            </w:pPr>
            <w:r w:rsidRPr="002C4FC4">
              <w:rPr>
                <w:caps/>
                <w:sz w:val="22"/>
                <w:szCs w:val="22"/>
              </w:rPr>
              <w:t xml:space="preserve">      N. 21 </w:t>
            </w:r>
            <w:proofErr w:type="spellStart"/>
            <w:r w:rsidRPr="002C4FC4">
              <w:rPr>
                <w:caps/>
                <w:sz w:val="22"/>
                <w:szCs w:val="22"/>
              </w:rPr>
              <w:t>reg</w:t>
            </w:r>
            <w:proofErr w:type="spellEnd"/>
            <w:r w:rsidRPr="002C4FC4">
              <w:rPr>
                <w:caps/>
                <w:sz w:val="22"/>
                <w:szCs w:val="22"/>
              </w:rPr>
              <w:t>. Dec</w:t>
            </w:r>
          </w:p>
        </w:tc>
      </w:tr>
      <w:tr w:rsidR="000777BF" w:rsidRPr="002C4FC4" w:rsidTr="000777BF">
        <w:trPr>
          <w:trHeight w:val="567"/>
        </w:trPr>
        <w:tc>
          <w:tcPr>
            <w:tcW w:w="7867" w:type="dxa"/>
            <w:tcMar>
              <w:top w:w="0" w:type="dxa"/>
              <w:left w:w="70" w:type="dxa"/>
              <w:bottom w:w="0" w:type="dxa"/>
              <w:right w:w="70" w:type="dxa"/>
            </w:tcMar>
            <w:hideMark/>
          </w:tcPr>
          <w:p w:rsidR="000777BF" w:rsidRPr="002C4FC4" w:rsidRDefault="000777BF" w:rsidP="00005D6D">
            <w:pPr>
              <w:ind w:right="-1"/>
              <w:jc w:val="both"/>
            </w:pPr>
            <w:r w:rsidRPr="002C4FC4">
              <w:rPr>
                <w:caps/>
                <w:sz w:val="22"/>
                <w:szCs w:val="22"/>
              </w:rPr>
              <w:t xml:space="preserve">                                                       IN NOME DEL POPOLO ITALIANO</w:t>
            </w:r>
          </w:p>
        </w:tc>
        <w:tc>
          <w:tcPr>
            <w:tcW w:w="2619" w:type="dxa"/>
            <w:tcMar>
              <w:top w:w="0" w:type="dxa"/>
              <w:left w:w="70" w:type="dxa"/>
              <w:bottom w:w="0" w:type="dxa"/>
              <w:right w:w="70" w:type="dxa"/>
            </w:tcMar>
            <w:hideMark/>
          </w:tcPr>
          <w:p w:rsidR="000777BF" w:rsidRPr="002C4FC4" w:rsidRDefault="000777BF" w:rsidP="000777BF">
            <w:pPr>
              <w:jc w:val="both"/>
            </w:pPr>
            <w:r w:rsidRPr="002C4FC4">
              <w:rPr>
                <w:caps/>
                <w:sz w:val="22"/>
                <w:szCs w:val="22"/>
              </w:rPr>
              <w:t xml:space="preserve">      </w:t>
            </w:r>
            <w:r w:rsidRPr="002C4FC4">
              <w:rPr>
                <w:caps/>
                <w:sz w:val="22"/>
                <w:szCs w:val="22"/>
                <w:lang w:val="en-GB"/>
              </w:rPr>
              <w:t>N. 8 reg. Ric.</w:t>
            </w:r>
          </w:p>
        </w:tc>
      </w:tr>
      <w:tr w:rsidR="000777BF" w:rsidRPr="002C4FC4" w:rsidTr="000777BF">
        <w:trPr>
          <w:trHeight w:val="567"/>
        </w:trPr>
        <w:tc>
          <w:tcPr>
            <w:tcW w:w="7867" w:type="dxa"/>
            <w:tcMar>
              <w:top w:w="0" w:type="dxa"/>
              <w:left w:w="70" w:type="dxa"/>
              <w:bottom w:w="0" w:type="dxa"/>
              <w:right w:w="70" w:type="dxa"/>
            </w:tcMar>
            <w:hideMark/>
          </w:tcPr>
          <w:p w:rsidR="000777BF" w:rsidRPr="002C4FC4" w:rsidRDefault="000777BF" w:rsidP="000777BF">
            <w:pPr>
              <w:ind w:right="-1"/>
              <w:jc w:val="both"/>
            </w:pPr>
            <w:r w:rsidRPr="002C4FC4">
              <w:rPr>
                <w:sz w:val="22"/>
                <w:szCs w:val="22"/>
              </w:rPr>
              <w:t>Il Consiglio di Stato in sede giurisdizionale(Adunanza Plenaria) ha pronunciato la seguente</w:t>
            </w:r>
          </w:p>
        </w:tc>
        <w:tc>
          <w:tcPr>
            <w:tcW w:w="2619" w:type="dxa"/>
            <w:tcMar>
              <w:top w:w="0" w:type="dxa"/>
              <w:left w:w="70" w:type="dxa"/>
              <w:bottom w:w="0" w:type="dxa"/>
              <w:right w:w="70" w:type="dxa"/>
            </w:tcMar>
            <w:hideMark/>
          </w:tcPr>
          <w:p w:rsidR="000777BF" w:rsidRPr="002C4FC4" w:rsidRDefault="000777BF" w:rsidP="000777BF">
            <w:pPr>
              <w:jc w:val="both"/>
            </w:pPr>
            <w:r w:rsidRPr="002C4FC4">
              <w:rPr>
                <w:caps/>
                <w:sz w:val="22"/>
                <w:szCs w:val="22"/>
              </w:rPr>
              <w:t xml:space="preserve">         Anno 1996</w:t>
            </w:r>
          </w:p>
        </w:tc>
      </w:tr>
    </w:tbl>
    <w:p w:rsidR="000777BF" w:rsidRPr="002C4FC4" w:rsidRDefault="000777BF" w:rsidP="000777BF">
      <w:pPr>
        <w:jc w:val="both"/>
        <w:rPr>
          <w:sz w:val="22"/>
          <w:szCs w:val="22"/>
        </w:rPr>
      </w:pPr>
      <w:r w:rsidRPr="002C4FC4">
        <w:rPr>
          <w:sz w:val="22"/>
          <w:szCs w:val="22"/>
        </w:rPr>
        <w:t> </w:t>
      </w:r>
    </w:p>
    <w:p w:rsidR="000777BF" w:rsidRPr="002C4FC4" w:rsidRDefault="000777BF" w:rsidP="000777BF">
      <w:pPr>
        <w:pStyle w:val="Testodelblocco"/>
        <w:spacing w:before="0" w:beforeAutospacing="0" w:after="0" w:afterAutospacing="0"/>
        <w:ind w:firstLine="540"/>
        <w:jc w:val="center"/>
        <w:rPr>
          <w:sz w:val="22"/>
          <w:szCs w:val="22"/>
        </w:rPr>
      </w:pPr>
      <w:r w:rsidRPr="002C4FC4">
        <w:rPr>
          <w:sz w:val="22"/>
          <w:szCs w:val="22"/>
        </w:rPr>
        <w:t>DECISIONE</w:t>
      </w:r>
    </w:p>
    <w:p w:rsidR="000777BF" w:rsidRPr="002C4FC4" w:rsidRDefault="000777BF" w:rsidP="000777BF">
      <w:pPr>
        <w:pStyle w:val="Testodelblocco"/>
        <w:spacing w:before="0" w:beforeAutospacing="0" w:after="0" w:afterAutospacing="0"/>
        <w:ind w:firstLine="540"/>
        <w:jc w:val="center"/>
        <w:rPr>
          <w:sz w:val="22"/>
          <w:szCs w:val="22"/>
        </w:rPr>
      </w:pPr>
    </w:p>
    <w:p w:rsidR="000777BF" w:rsidRPr="002C4FC4" w:rsidRDefault="000777BF" w:rsidP="000777BF">
      <w:pPr>
        <w:pStyle w:val="Testodelblocco"/>
        <w:spacing w:before="0" w:beforeAutospacing="0" w:after="0" w:afterAutospacing="0"/>
        <w:ind w:firstLine="540"/>
        <w:jc w:val="both"/>
        <w:rPr>
          <w:sz w:val="22"/>
          <w:szCs w:val="22"/>
        </w:rPr>
      </w:pPr>
      <w:r w:rsidRPr="002C4FC4">
        <w:rPr>
          <w:sz w:val="22"/>
          <w:szCs w:val="22"/>
        </w:rPr>
        <w:t xml:space="preserve">sul ricorso in appello n. 8/96 proposto da ROSSI Maria Luisa, rappresentata e difesa dall’avv. Alfio Grasso e presso lo stesso selettivamente domiciliata in Roma, viale della Piramide </w:t>
      </w:r>
      <w:proofErr w:type="spellStart"/>
      <w:r w:rsidRPr="002C4FC4">
        <w:rPr>
          <w:sz w:val="22"/>
          <w:szCs w:val="22"/>
        </w:rPr>
        <w:t>Cestia</w:t>
      </w:r>
      <w:proofErr w:type="spellEnd"/>
      <w:r w:rsidRPr="002C4FC4">
        <w:rPr>
          <w:sz w:val="22"/>
          <w:szCs w:val="22"/>
        </w:rPr>
        <w:t>, 1;</w:t>
      </w:r>
    </w:p>
    <w:p w:rsidR="000777BF" w:rsidRPr="002C4FC4" w:rsidRDefault="000777BF" w:rsidP="000777BF">
      <w:pPr>
        <w:pStyle w:val="Testodelblocco"/>
        <w:spacing w:before="0" w:beforeAutospacing="0" w:after="0" w:afterAutospacing="0"/>
        <w:ind w:firstLine="540"/>
        <w:jc w:val="center"/>
        <w:rPr>
          <w:caps/>
          <w:sz w:val="22"/>
          <w:szCs w:val="22"/>
        </w:rPr>
      </w:pPr>
    </w:p>
    <w:p w:rsidR="000777BF" w:rsidRPr="002C4FC4" w:rsidRDefault="000777BF" w:rsidP="000777BF">
      <w:pPr>
        <w:pStyle w:val="Testodelblocco"/>
        <w:spacing w:before="0" w:beforeAutospacing="0" w:after="0" w:afterAutospacing="0"/>
        <w:ind w:firstLine="540"/>
        <w:jc w:val="center"/>
        <w:rPr>
          <w:caps/>
          <w:sz w:val="22"/>
          <w:szCs w:val="22"/>
        </w:rPr>
      </w:pPr>
      <w:r w:rsidRPr="002C4FC4">
        <w:rPr>
          <w:caps/>
          <w:sz w:val="22"/>
          <w:szCs w:val="22"/>
        </w:rPr>
        <w:t>contro</w:t>
      </w:r>
    </w:p>
    <w:p w:rsidR="000777BF" w:rsidRPr="002C4FC4" w:rsidRDefault="000777BF" w:rsidP="000777BF">
      <w:pPr>
        <w:pStyle w:val="Testodelblocco"/>
        <w:spacing w:before="0" w:beforeAutospacing="0" w:after="0" w:afterAutospacing="0"/>
        <w:ind w:firstLine="540"/>
        <w:jc w:val="center"/>
        <w:rPr>
          <w:sz w:val="22"/>
          <w:szCs w:val="22"/>
        </w:rPr>
      </w:pP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il Ministero della pubblica istruzione, in persona del Ministero </w:t>
      </w:r>
      <w:r w:rsidRPr="002C4FC4">
        <w:rPr>
          <w:i/>
          <w:iCs/>
          <w:sz w:val="22"/>
          <w:szCs w:val="22"/>
        </w:rPr>
        <w:t>pro tempore</w:t>
      </w:r>
      <w:r w:rsidRPr="002C4FC4">
        <w:rPr>
          <w:sz w:val="22"/>
          <w:szCs w:val="22"/>
        </w:rPr>
        <w:t>, rappresentato e difeso dall’Avvocatura Generale dello Stato e presso la stessa legalmente domiciliato in Roma, via dei Portoghesi, 12;</w:t>
      </w:r>
    </w:p>
    <w:p w:rsidR="000777BF" w:rsidRPr="002C4FC4" w:rsidRDefault="000777BF" w:rsidP="000777BF">
      <w:pPr>
        <w:pStyle w:val="Testodelblocco"/>
        <w:spacing w:before="0" w:beforeAutospacing="0" w:after="0" w:afterAutospacing="0"/>
        <w:ind w:firstLine="539"/>
        <w:jc w:val="center"/>
        <w:rPr>
          <w:caps/>
          <w:sz w:val="22"/>
          <w:szCs w:val="22"/>
        </w:rPr>
      </w:pPr>
    </w:p>
    <w:p w:rsidR="000777BF" w:rsidRPr="002C4FC4" w:rsidRDefault="000777BF" w:rsidP="000777BF">
      <w:pPr>
        <w:pStyle w:val="Testodelblocco"/>
        <w:spacing w:before="0" w:beforeAutospacing="0" w:after="0" w:afterAutospacing="0"/>
        <w:ind w:firstLine="539"/>
        <w:jc w:val="center"/>
        <w:rPr>
          <w:caps/>
          <w:sz w:val="22"/>
          <w:szCs w:val="22"/>
        </w:rPr>
      </w:pPr>
      <w:r w:rsidRPr="002C4FC4">
        <w:rPr>
          <w:caps/>
          <w:sz w:val="22"/>
          <w:szCs w:val="22"/>
        </w:rPr>
        <w:t>per l’annullamento</w:t>
      </w:r>
    </w:p>
    <w:p w:rsidR="000777BF" w:rsidRPr="002C4FC4" w:rsidRDefault="000777BF" w:rsidP="000777BF">
      <w:pPr>
        <w:pStyle w:val="Testodelblocco"/>
        <w:spacing w:before="0" w:beforeAutospacing="0" w:after="0" w:afterAutospacing="0"/>
        <w:ind w:firstLine="539"/>
        <w:jc w:val="center"/>
        <w:rPr>
          <w:sz w:val="22"/>
          <w:szCs w:val="22"/>
        </w:rPr>
      </w:pP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della sentenza del Tribunale Amministrativo Regionale del Lazio (Sezione III bis) n. 937 del 13 luglio 1992, con la quale è stato respinto il ricorso della attuale appellante in materia di riconoscimento del servizio </w:t>
      </w:r>
      <w:proofErr w:type="spellStart"/>
      <w:r w:rsidRPr="002C4FC4">
        <w:rPr>
          <w:sz w:val="22"/>
          <w:szCs w:val="22"/>
        </w:rPr>
        <w:t>pre-ruolo</w:t>
      </w:r>
      <w:proofErr w:type="spellEnd"/>
      <w:r w:rsidRPr="002C4FC4">
        <w:rPr>
          <w:sz w:val="22"/>
          <w:szCs w:val="22"/>
        </w:rPr>
        <w:t>;</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Visto il ricorso con i relativi allegati;</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Visto l’atto di costituzione in giudizio dell’Amministrazione della pubblica istruzione;</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Viste le memorie prodotte dalle parti a sostegno delle rispettive difese;</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Visti gli atti tutti della causa;</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Udita la pubblica udienza del 1° luglio 1996, la relazione del Consigliere Salvatore </w:t>
      </w:r>
      <w:proofErr w:type="spellStart"/>
      <w:r w:rsidRPr="002C4FC4">
        <w:rPr>
          <w:sz w:val="22"/>
          <w:szCs w:val="22"/>
        </w:rPr>
        <w:t>Tumbiolo</w:t>
      </w:r>
      <w:proofErr w:type="spellEnd"/>
      <w:r w:rsidRPr="002C4FC4">
        <w:rPr>
          <w:sz w:val="22"/>
          <w:szCs w:val="22"/>
        </w:rPr>
        <w:t xml:space="preserve"> e uditi, altresì, l’avv. Grasso per l’appellante e l’avv. dello Stato </w:t>
      </w:r>
      <w:proofErr w:type="spellStart"/>
      <w:r w:rsidRPr="002C4FC4">
        <w:rPr>
          <w:sz w:val="22"/>
          <w:szCs w:val="22"/>
        </w:rPr>
        <w:t>Rago</w:t>
      </w:r>
      <w:proofErr w:type="spellEnd"/>
      <w:r w:rsidRPr="002C4FC4">
        <w:rPr>
          <w:sz w:val="22"/>
          <w:szCs w:val="22"/>
        </w:rPr>
        <w:t>, per l’Amministrazione resistente;</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Ritenuto e considerato in fatto e in diritto quanto segue:</w:t>
      </w:r>
    </w:p>
    <w:p w:rsidR="000777BF" w:rsidRPr="002C4FC4" w:rsidRDefault="000777BF" w:rsidP="000777BF">
      <w:pPr>
        <w:pStyle w:val="Testodelblocco"/>
        <w:ind w:firstLine="540"/>
        <w:jc w:val="center"/>
        <w:rPr>
          <w:sz w:val="22"/>
          <w:szCs w:val="22"/>
        </w:rPr>
      </w:pPr>
      <w:r w:rsidRPr="002C4FC4">
        <w:rPr>
          <w:caps/>
          <w:sz w:val="22"/>
          <w:szCs w:val="22"/>
        </w:rPr>
        <w:t>Fatto</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Con ricorso rubricato al n. 4272/90, la prof.ssa Maria Luisa Rossi, impugnava, avanti al T.A.R. del Lazio, il decreto 12 gennaio 1990, con il quale il Provveditorato agli studi di Roma aveva respinto l’istanza della ricorrente, intesa ad ottenere, fra l’altro, il riconoscimento del servizio scolastico </w:t>
      </w:r>
      <w:proofErr w:type="spellStart"/>
      <w:r w:rsidRPr="002C4FC4">
        <w:rPr>
          <w:i/>
          <w:iCs/>
          <w:sz w:val="22"/>
          <w:szCs w:val="22"/>
        </w:rPr>
        <w:t>pre-ruolo</w:t>
      </w:r>
      <w:proofErr w:type="spellEnd"/>
      <w:r w:rsidRPr="002C4FC4">
        <w:rPr>
          <w:sz w:val="22"/>
          <w:szCs w:val="22"/>
        </w:rPr>
        <w:t xml:space="preserve"> prestato nell’anno scolastico 1959-60.</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Nella motivazione del provvedimento era precisato che tale anno scolastico non poteva essere valutato, ai sensi della 26 luglio 1970, n. 576, in quanto l’interessata aveva “insegnato per un numero di ore settimanali inferiore a 6”.</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La ricorrente richiamava la circolare ministeriale n. 147 del 23 maggio 1980 (che aveva accolto l’orientamento giurisprudenziale favorevole al riconoscimento, ricorrendo le altre condizioni, del servizio </w:t>
      </w:r>
      <w:proofErr w:type="spellStart"/>
      <w:r w:rsidRPr="002C4FC4">
        <w:rPr>
          <w:i/>
          <w:iCs/>
          <w:sz w:val="22"/>
          <w:szCs w:val="22"/>
        </w:rPr>
        <w:t>pre-ruolo</w:t>
      </w:r>
      <w:proofErr w:type="spellEnd"/>
      <w:r w:rsidRPr="002C4FC4">
        <w:rPr>
          <w:sz w:val="22"/>
          <w:szCs w:val="22"/>
        </w:rPr>
        <w:t>, anche se prestato per meno di sei ore settimanali di insegnamento) e chiedeva l’annullamento, perché illegittimo, del provvedimento impugnato.</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Con memoria, la ricorrente illustrava ulteriormente la propria tesi difensiva. L’Amministrazione intimata non si costituiva in giudizio.</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Il T.A.R. adito respingeva il ricorso della prof.ssa ROSSI, ritenendo applicabile, in materia di riconoscimento dei periodi di insegnamento </w:t>
      </w:r>
      <w:proofErr w:type="spellStart"/>
      <w:r w:rsidRPr="002C4FC4">
        <w:rPr>
          <w:i/>
          <w:iCs/>
          <w:sz w:val="22"/>
          <w:szCs w:val="22"/>
        </w:rPr>
        <w:t>pre-ruolo</w:t>
      </w:r>
      <w:proofErr w:type="spellEnd"/>
      <w:r w:rsidRPr="002C4FC4">
        <w:rPr>
          <w:sz w:val="22"/>
          <w:szCs w:val="22"/>
        </w:rPr>
        <w:t>, la disposizione contenuta nel punto 3 della tabella di valutazione dei titoli, (allegata alla legge 2 agosto 1952, n. 1132) nei concorsi a carattere d’insegnamento negli istituti medi di istruzione.</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Con l’atto di appello (n. 5107/93 Sez. </w:t>
      </w:r>
      <w:proofErr w:type="spellStart"/>
      <w:r w:rsidRPr="002C4FC4">
        <w:rPr>
          <w:sz w:val="22"/>
          <w:szCs w:val="22"/>
        </w:rPr>
        <w:t>VI</w:t>
      </w:r>
      <w:proofErr w:type="spellEnd"/>
      <w:r w:rsidRPr="002C4FC4">
        <w:rPr>
          <w:sz w:val="22"/>
          <w:szCs w:val="22"/>
        </w:rPr>
        <w:t>), la prof.ssa ROSSI ha ribadito la tesi, sostenuta in primo grado, secondo cui la prestazione per un minimo di ore settimanali non è prevista dall’ordinamento quale condizione per la riconoscibilità del servizio non di ruolo.</w:t>
      </w:r>
    </w:p>
    <w:p w:rsidR="000777BF" w:rsidRPr="002C4FC4" w:rsidRDefault="000777BF" w:rsidP="000777BF">
      <w:pPr>
        <w:pStyle w:val="Testodelblocco"/>
        <w:spacing w:before="0" w:beforeAutospacing="0" w:after="0" w:afterAutospacing="0"/>
        <w:ind w:firstLine="539"/>
        <w:jc w:val="both"/>
        <w:rPr>
          <w:sz w:val="22"/>
          <w:szCs w:val="22"/>
        </w:rPr>
      </w:pPr>
      <w:r w:rsidRPr="002C4FC4">
        <w:rPr>
          <w:sz w:val="22"/>
          <w:szCs w:val="22"/>
        </w:rPr>
        <w:t xml:space="preserve">Si è costituita in giudizio l’Amministrazione appellata, sottolineando che il riferimento e il coordinamento con la normativa vigente i materia, ed in particolare con la legge 2 agosto 1952, n. 1132, è </w:t>
      </w:r>
      <w:r w:rsidRPr="002C4FC4">
        <w:rPr>
          <w:sz w:val="22"/>
          <w:szCs w:val="22"/>
        </w:rPr>
        <w:lastRenderedPageBreak/>
        <w:t xml:space="preserve">necessario, perché la mancanza di una previsione espressa al riguardo comporterebbe la piena </w:t>
      </w:r>
      <w:proofErr w:type="spellStart"/>
      <w:r w:rsidRPr="002C4FC4">
        <w:rPr>
          <w:sz w:val="22"/>
          <w:szCs w:val="22"/>
        </w:rPr>
        <w:t>valutabilità</w:t>
      </w:r>
      <w:proofErr w:type="spellEnd"/>
      <w:r w:rsidRPr="002C4FC4">
        <w:rPr>
          <w:sz w:val="22"/>
          <w:szCs w:val="22"/>
        </w:rPr>
        <w:t xml:space="preserve"> anche di un servizio svolto per una o due ore settimanali.</w:t>
      </w:r>
    </w:p>
    <w:p w:rsidR="000777BF" w:rsidRPr="002C4FC4" w:rsidRDefault="000777BF" w:rsidP="000777BF">
      <w:pPr>
        <w:pStyle w:val="Testodelblocco"/>
        <w:spacing w:before="0" w:beforeAutospacing="0" w:after="0" w:afterAutospacing="0"/>
        <w:ind w:firstLine="540"/>
        <w:jc w:val="both"/>
        <w:rPr>
          <w:sz w:val="22"/>
          <w:szCs w:val="22"/>
        </w:rPr>
      </w:pPr>
      <w:r w:rsidRPr="002C4FC4">
        <w:rPr>
          <w:sz w:val="22"/>
          <w:szCs w:val="22"/>
        </w:rPr>
        <w:t xml:space="preserve">La Sezione </w:t>
      </w:r>
      <w:proofErr w:type="spellStart"/>
      <w:r w:rsidRPr="002C4FC4">
        <w:rPr>
          <w:sz w:val="22"/>
          <w:szCs w:val="22"/>
        </w:rPr>
        <w:t>VI</w:t>
      </w:r>
      <w:proofErr w:type="spellEnd"/>
      <w:r w:rsidRPr="002C4FC4">
        <w:rPr>
          <w:sz w:val="22"/>
          <w:szCs w:val="22"/>
        </w:rPr>
        <w:t xml:space="preserve"> di questo Consiglio, con ordinanza n. 269 del 26 febbraio 1996, in relazione al contrasto giurisprudenziale esistente in materia e atteso l’evidente carattere di massima della questione prospettata, ha ritenuto opportuno deferire all’esame di questa Adunanza Plenaria la questione stessa, per stabilire se, ai fini del riconoscimento del servizio </w:t>
      </w:r>
      <w:proofErr w:type="spellStart"/>
      <w:r w:rsidRPr="002C4FC4">
        <w:rPr>
          <w:i/>
          <w:iCs/>
          <w:sz w:val="22"/>
          <w:szCs w:val="22"/>
        </w:rPr>
        <w:t>pre-ruolo</w:t>
      </w:r>
      <w:proofErr w:type="spellEnd"/>
      <w:r w:rsidRPr="002C4FC4">
        <w:rPr>
          <w:sz w:val="22"/>
          <w:szCs w:val="22"/>
        </w:rPr>
        <w:t xml:space="preserve"> del personale docente, sia richiesto un numero di ore settimanali di servizio non inferiore a sei.</w:t>
      </w:r>
    </w:p>
    <w:p w:rsidR="000777BF" w:rsidRPr="002C4FC4" w:rsidRDefault="000777BF" w:rsidP="000777BF">
      <w:pPr>
        <w:pStyle w:val="Testodelblocco"/>
        <w:spacing w:before="0" w:beforeAutospacing="0" w:after="0" w:afterAutospacing="0"/>
        <w:ind w:firstLine="540"/>
        <w:jc w:val="both"/>
        <w:rPr>
          <w:sz w:val="22"/>
          <w:szCs w:val="22"/>
        </w:rPr>
      </w:pPr>
      <w:r w:rsidRPr="002C4FC4">
        <w:rPr>
          <w:sz w:val="22"/>
          <w:szCs w:val="22"/>
        </w:rPr>
        <w:t>Alla pubblica udienza del 1° luglio 1996, le parti hanno insistito nelle rispettive conclusioni e la causa è passata in decisione.</w:t>
      </w:r>
    </w:p>
    <w:p w:rsidR="000777BF" w:rsidRPr="002C4FC4" w:rsidRDefault="000777BF" w:rsidP="000777BF">
      <w:pPr>
        <w:pStyle w:val="Testodelblocco"/>
        <w:ind w:firstLine="540"/>
        <w:jc w:val="center"/>
        <w:rPr>
          <w:sz w:val="22"/>
          <w:szCs w:val="22"/>
        </w:rPr>
      </w:pPr>
      <w:r w:rsidRPr="002C4FC4">
        <w:rPr>
          <w:sz w:val="22"/>
          <w:szCs w:val="22"/>
        </w:rPr>
        <w:t>DIRITTO</w:t>
      </w:r>
    </w:p>
    <w:p w:rsidR="000777BF" w:rsidRPr="002C4FC4" w:rsidRDefault="000777BF" w:rsidP="002C4FC4">
      <w:pPr>
        <w:ind w:right="-1" w:firstLine="539"/>
        <w:jc w:val="both"/>
        <w:rPr>
          <w:sz w:val="22"/>
          <w:szCs w:val="22"/>
        </w:rPr>
      </w:pPr>
      <w:r w:rsidRPr="002C4FC4">
        <w:rPr>
          <w:sz w:val="22"/>
          <w:szCs w:val="22"/>
        </w:rPr>
        <w:t xml:space="preserve">1. - E' stata deferita a questa Adunanza plenaria la questione se, ai fini del riconoscimento del servizio </w:t>
      </w:r>
      <w:proofErr w:type="spellStart"/>
      <w:r w:rsidRPr="002C4FC4">
        <w:rPr>
          <w:sz w:val="22"/>
          <w:szCs w:val="22"/>
        </w:rPr>
        <w:t>pre</w:t>
      </w:r>
      <w:proofErr w:type="spellEnd"/>
      <w:r w:rsidRPr="002C4FC4">
        <w:rPr>
          <w:sz w:val="22"/>
          <w:szCs w:val="22"/>
        </w:rPr>
        <w:t xml:space="preserve"> ruolo del personale docente, sia richiesto un numero di ore non inferiore a sei.</w:t>
      </w:r>
    </w:p>
    <w:p w:rsidR="000777BF" w:rsidRPr="002C4FC4" w:rsidRDefault="000777BF" w:rsidP="002C4FC4">
      <w:pPr>
        <w:ind w:right="-1" w:firstLine="539"/>
        <w:jc w:val="both"/>
        <w:rPr>
          <w:sz w:val="22"/>
          <w:szCs w:val="22"/>
        </w:rPr>
      </w:pPr>
      <w:r w:rsidRPr="002C4FC4">
        <w:rPr>
          <w:sz w:val="22"/>
          <w:szCs w:val="22"/>
        </w:rPr>
        <w:t>Trattasi di materia disciplinata dal D.L. 19 giugno 1970 n. 370, convertito in legge con modificazioni dalla L. 26 luglio 1970 n. 576.</w:t>
      </w:r>
    </w:p>
    <w:p w:rsidR="000777BF" w:rsidRPr="002C4FC4" w:rsidRDefault="000777BF" w:rsidP="000777BF">
      <w:pPr>
        <w:ind w:right="641" w:firstLine="539"/>
        <w:jc w:val="both"/>
        <w:rPr>
          <w:sz w:val="22"/>
          <w:szCs w:val="22"/>
        </w:rPr>
      </w:pPr>
      <w:r w:rsidRPr="002C4FC4">
        <w:rPr>
          <w:sz w:val="22"/>
          <w:szCs w:val="22"/>
        </w:rPr>
        <w:t>I requisiti richiesti sono i seguenti:</w:t>
      </w:r>
    </w:p>
    <w:p w:rsidR="000777BF" w:rsidRPr="002C4FC4" w:rsidRDefault="000777BF" w:rsidP="000777BF">
      <w:pPr>
        <w:ind w:right="641" w:firstLine="539"/>
        <w:jc w:val="both"/>
        <w:rPr>
          <w:sz w:val="22"/>
          <w:szCs w:val="22"/>
        </w:rPr>
      </w:pPr>
      <w:r w:rsidRPr="002C4FC4">
        <w:rPr>
          <w:sz w:val="22"/>
          <w:szCs w:val="22"/>
        </w:rPr>
        <w:t>a) possesso del titolo di studio prescritto o comunque riconosciuto valido (art. 3 primo comma);</w:t>
      </w:r>
    </w:p>
    <w:p w:rsidR="000777BF" w:rsidRPr="002C4FC4" w:rsidRDefault="000777BF" w:rsidP="002C4FC4">
      <w:pPr>
        <w:ind w:right="-1" w:firstLine="539"/>
        <w:jc w:val="both"/>
        <w:rPr>
          <w:sz w:val="22"/>
          <w:szCs w:val="22"/>
        </w:rPr>
      </w:pPr>
      <w:r w:rsidRPr="002C4FC4">
        <w:rPr>
          <w:sz w:val="22"/>
          <w:szCs w:val="22"/>
        </w:rPr>
        <w:t>b) attribuzione della qualifica non inferiore a « buono » o prestazione del servizio « senza demerito », nei casi in cui non sia stata attribuita la qualifica (artt. 1 e 2);</w:t>
      </w:r>
    </w:p>
    <w:p w:rsidR="000777BF" w:rsidRPr="002C4FC4" w:rsidRDefault="000777BF" w:rsidP="002C4FC4">
      <w:pPr>
        <w:ind w:right="-1" w:firstLine="539"/>
        <w:jc w:val="both"/>
        <w:rPr>
          <w:sz w:val="22"/>
          <w:szCs w:val="22"/>
        </w:rPr>
      </w:pPr>
      <w:r w:rsidRPr="002C4FC4">
        <w:rPr>
          <w:sz w:val="22"/>
          <w:szCs w:val="22"/>
        </w:rPr>
        <w:t>c) durata prevista, agli effetti della validità dell'anno scolastico, dall'ordinamento vigente al momento della prestazione.</w:t>
      </w:r>
    </w:p>
    <w:p w:rsidR="000777BF" w:rsidRPr="002C4FC4" w:rsidRDefault="000777BF" w:rsidP="002C4FC4">
      <w:pPr>
        <w:ind w:right="-1" w:firstLine="539"/>
        <w:jc w:val="both"/>
        <w:rPr>
          <w:sz w:val="22"/>
          <w:szCs w:val="22"/>
        </w:rPr>
      </w:pPr>
      <w:r w:rsidRPr="002C4FC4">
        <w:rPr>
          <w:sz w:val="22"/>
          <w:szCs w:val="22"/>
        </w:rPr>
        <w:t xml:space="preserve">Tale disciplina - che non stabilisce alcun minimo di ore settimanali di servizio - è stata sostanzialmente confermata dall'art. 81 del D.P.R. 31 maggio 1974 n. 417 (che ha modificato le misure riconoscibili, ai fini giuridici ed economici ovvero ai soli fini economici, del servizio </w:t>
      </w:r>
      <w:proofErr w:type="spellStart"/>
      <w:r w:rsidRPr="002C4FC4">
        <w:rPr>
          <w:sz w:val="22"/>
          <w:szCs w:val="22"/>
        </w:rPr>
        <w:t>pre</w:t>
      </w:r>
      <w:proofErr w:type="spellEnd"/>
      <w:r w:rsidRPr="002C4FC4">
        <w:rPr>
          <w:sz w:val="22"/>
          <w:szCs w:val="22"/>
        </w:rPr>
        <w:t xml:space="preserve"> ruolo eccedente i quattro anni), e dall'art. 85 quanto ai requisiti.</w:t>
      </w:r>
    </w:p>
    <w:p w:rsidR="000777BF" w:rsidRPr="002C4FC4" w:rsidRDefault="000777BF" w:rsidP="002C4FC4">
      <w:pPr>
        <w:ind w:right="-1" w:firstLine="539"/>
        <w:jc w:val="both"/>
        <w:rPr>
          <w:sz w:val="22"/>
          <w:szCs w:val="22"/>
        </w:rPr>
      </w:pPr>
      <w:r w:rsidRPr="002C4FC4">
        <w:rPr>
          <w:sz w:val="22"/>
          <w:szCs w:val="22"/>
        </w:rPr>
        <w:t>Il Ministero della pubblica istruzione, alla prima interpretazione della legge, con circolare n. 52 dell'11 febbraio 1971, non aveva riconosciuto validi, ai fini giuridici ed economici, i servizi di insegnamento prestati per meno di sei ore settimanali.</w:t>
      </w:r>
    </w:p>
    <w:p w:rsidR="000777BF" w:rsidRPr="002C4FC4" w:rsidRDefault="000777BF" w:rsidP="002C4FC4">
      <w:pPr>
        <w:ind w:right="-1" w:firstLine="539"/>
        <w:jc w:val="both"/>
        <w:rPr>
          <w:sz w:val="22"/>
          <w:szCs w:val="22"/>
        </w:rPr>
      </w:pPr>
      <w:r w:rsidRPr="002C4FC4">
        <w:rPr>
          <w:sz w:val="22"/>
          <w:szCs w:val="22"/>
        </w:rPr>
        <w:t>Alla prima interpretazione, volta a considerare la validità del servizio con gli stessi criteri vigenti per la valutazione dei titoli dei concorsi a cattedre (L. 2 agosto 1952 n. 1132), ha fatto seguito quella più favorevole recepita con la successiva circolare n. 147 del 23 maggio 1980. Con tale circolare, il Ministero ha inteso adeguarsi alle diverse sentenze, passate in giudicato, con le quali gli organi di giustizia amministrativa avevano affermato che le vigenti disposizioni legislative non prescrivono, ai fini del riconoscimento di cui sopra, un minimo di ore settimanali di insegnamento.</w:t>
      </w:r>
    </w:p>
    <w:p w:rsidR="000777BF" w:rsidRPr="002C4FC4" w:rsidRDefault="000777BF" w:rsidP="002C4FC4">
      <w:pPr>
        <w:ind w:right="-1" w:firstLine="539"/>
        <w:jc w:val="both"/>
        <w:rPr>
          <w:sz w:val="22"/>
          <w:szCs w:val="22"/>
        </w:rPr>
      </w:pPr>
      <w:r w:rsidRPr="002C4FC4">
        <w:rPr>
          <w:sz w:val="22"/>
          <w:szCs w:val="22"/>
        </w:rPr>
        <w:t xml:space="preserve">In tal senso, le seguenti pronunce, che l'appellante richiama a sostegno della sua tesi difensiva: T.A.R. Marche 21 dicembre 1976 n. 192; T.A.R. Toscana 30 agosto 1977 n. 392; T.A.R. Basilicata 16 dicembre 1977 n. 268; T.A.R. Emilia Romagna 21 marzo 1978 n. 35; Cons. Stato, </w:t>
      </w:r>
      <w:proofErr w:type="spellStart"/>
      <w:r w:rsidRPr="002C4FC4">
        <w:rPr>
          <w:sz w:val="22"/>
          <w:szCs w:val="22"/>
        </w:rPr>
        <w:t>VI</w:t>
      </w:r>
      <w:proofErr w:type="spellEnd"/>
      <w:r w:rsidRPr="002C4FC4">
        <w:rPr>
          <w:sz w:val="22"/>
          <w:szCs w:val="22"/>
        </w:rPr>
        <w:t xml:space="preserve"> Sez., 10 giugno 1980 n. 655; II Sez. 29 aprile 1981 n. 1142/78; 4 aprile 1990 n. 291/90; Corte dei conti, Sez. contr. Stato, 18 marzo 1992 n. 22/92).</w:t>
      </w:r>
    </w:p>
    <w:p w:rsidR="000777BF" w:rsidRPr="002C4FC4" w:rsidRDefault="000777BF" w:rsidP="002C4FC4">
      <w:pPr>
        <w:ind w:right="-1" w:firstLine="539"/>
        <w:jc w:val="both"/>
        <w:rPr>
          <w:sz w:val="22"/>
          <w:szCs w:val="22"/>
        </w:rPr>
      </w:pPr>
      <w:r w:rsidRPr="002C4FC4">
        <w:rPr>
          <w:sz w:val="22"/>
          <w:szCs w:val="22"/>
        </w:rPr>
        <w:t>Tale interpretazione « estensiva » viene fondata, sostanzialmente, sulla decisiva considerazione che l'ulteriore requisito della prestazione di servizio per un minimo di ore settimanali non è previsto dall'ordinamento, che, invece, richiede, espressamente, determinate condizioni, riferite al titolo di studio posseduto, alla qualità del servizio prestato ed alla sua prestazione per un periodo che possa considerarsi anno scolastico intero.</w:t>
      </w:r>
    </w:p>
    <w:p w:rsidR="000777BF" w:rsidRPr="002C4FC4" w:rsidRDefault="000777BF" w:rsidP="002C4FC4">
      <w:pPr>
        <w:ind w:right="-1" w:firstLine="539"/>
        <w:jc w:val="both"/>
        <w:rPr>
          <w:sz w:val="22"/>
          <w:szCs w:val="22"/>
        </w:rPr>
      </w:pPr>
      <w:r w:rsidRPr="002C4FC4">
        <w:rPr>
          <w:sz w:val="22"/>
          <w:szCs w:val="22"/>
        </w:rPr>
        <w:t xml:space="preserve">2. - La sentenza impugnata, invece, partendo dal presupposto che l'orario di servizio degli insegnanti di scuola secondaria ha il suo minimo nel cosiddetto orario di cattedre (normalmente 18 ore settimanali), prospetta la « necessità » di ritenere che le norme sul riconoscimento del servizio </w:t>
      </w:r>
      <w:proofErr w:type="spellStart"/>
      <w:r w:rsidRPr="002C4FC4">
        <w:rPr>
          <w:i/>
          <w:iCs/>
          <w:sz w:val="22"/>
          <w:szCs w:val="22"/>
        </w:rPr>
        <w:t>pre</w:t>
      </w:r>
      <w:proofErr w:type="spellEnd"/>
      <w:r w:rsidRPr="002C4FC4">
        <w:rPr>
          <w:i/>
          <w:iCs/>
          <w:sz w:val="22"/>
          <w:szCs w:val="22"/>
        </w:rPr>
        <w:t xml:space="preserve"> ruolo</w:t>
      </w:r>
      <w:r w:rsidRPr="002C4FC4">
        <w:rPr>
          <w:sz w:val="22"/>
          <w:szCs w:val="22"/>
        </w:rPr>
        <w:t xml:space="preserve">, in quanto preordinate ad operare una saldatura tra servizio non di ruolo e servizio di ruolo, sia a fini giuridici che a fini economici, presuppongono logicamente una </w:t>
      </w:r>
      <w:proofErr w:type="spellStart"/>
      <w:r w:rsidRPr="002C4FC4">
        <w:rPr>
          <w:sz w:val="22"/>
          <w:szCs w:val="22"/>
        </w:rPr>
        <w:t>confrontabilità</w:t>
      </w:r>
      <w:proofErr w:type="spellEnd"/>
      <w:r w:rsidRPr="002C4FC4">
        <w:rPr>
          <w:sz w:val="22"/>
          <w:szCs w:val="22"/>
        </w:rPr>
        <w:t xml:space="preserve"> ed anzi una omogeneità fra i due servizi e, cioè, presuppongano che il primo sia stato svolto a copertura di una cattedra o di un posto orario equivalente ovvero, comunque, con un impegno settimanale analogo, cosi come avverrà poi con l'immissione in ruolo.</w:t>
      </w:r>
    </w:p>
    <w:p w:rsidR="000777BF" w:rsidRPr="002C4FC4" w:rsidRDefault="000777BF" w:rsidP="002C4FC4">
      <w:pPr>
        <w:pStyle w:val="Corpodeltesto"/>
        <w:spacing w:before="0" w:beforeAutospacing="0" w:after="0" w:afterAutospacing="0"/>
        <w:ind w:right="-1" w:firstLine="539"/>
        <w:jc w:val="both"/>
        <w:rPr>
          <w:sz w:val="22"/>
          <w:szCs w:val="22"/>
        </w:rPr>
      </w:pPr>
      <w:r w:rsidRPr="002C4FC4">
        <w:rPr>
          <w:sz w:val="22"/>
          <w:szCs w:val="22"/>
        </w:rPr>
        <w:t xml:space="preserve">Siffatta interpretazione, come ricordato nell'ordinanza di rimessione all'A.P. è contenuta in alcune pronunce di questo Consiglio e dei Tribunali amministrativi regionali: Cons. Stato, </w:t>
      </w:r>
      <w:proofErr w:type="spellStart"/>
      <w:r w:rsidRPr="002C4FC4">
        <w:rPr>
          <w:sz w:val="22"/>
          <w:szCs w:val="22"/>
        </w:rPr>
        <w:t>VI</w:t>
      </w:r>
      <w:proofErr w:type="spellEnd"/>
      <w:r w:rsidRPr="002C4FC4">
        <w:rPr>
          <w:sz w:val="22"/>
          <w:szCs w:val="22"/>
        </w:rPr>
        <w:t xml:space="preserve"> Sez., 7 luglio 1981 n. 385; I Sez. 17 aprile 1978 n. 1408/74; T.A.R. Catania 29 settembre 1989 e 1 febbraio 1979 n. 15.</w:t>
      </w:r>
    </w:p>
    <w:p w:rsidR="000777BF" w:rsidRPr="002C4FC4" w:rsidRDefault="000777BF" w:rsidP="002C4FC4">
      <w:pPr>
        <w:ind w:right="140" w:firstLine="540"/>
        <w:jc w:val="both"/>
        <w:rPr>
          <w:sz w:val="22"/>
          <w:szCs w:val="22"/>
        </w:rPr>
      </w:pPr>
      <w:r w:rsidRPr="002C4FC4">
        <w:rPr>
          <w:sz w:val="22"/>
          <w:szCs w:val="22"/>
        </w:rPr>
        <w:lastRenderedPageBreak/>
        <w:t xml:space="preserve">E, proprio per tale contrasto giurisprudenziale, la </w:t>
      </w:r>
      <w:proofErr w:type="spellStart"/>
      <w:r w:rsidRPr="002C4FC4">
        <w:rPr>
          <w:sz w:val="22"/>
          <w:szCs w:val="22"/>
        </w:rPr>
        <w:t>VI</w:t>
      </w:r>
      <w:proofErr w:type="spellEnd"/>
      <w:r w:rsidRPr="002C4FC4">
        <w:rPr>
          <w:sz w:val="22"/>
          <w:szCs w:val="22"/>
        </w:rPr>
        <w:t xml:space="preserve"> Sezione ha ritenuto opportuno deferire la decisione dell'appello a questa Adunanza plenaria, ai sensi dell'art. 45, secondo comma del R.D. 26 giugno 1924 n. 1054, come sostituito dall'art. 5 della L. 21 dicembre 1950 n. 1018.</w:t>
      </w:r>
    </w:p>
    <w:p w:rsidR="000777BF" w:rsidRPr="002C4FC4" w:rsidRDefault="000777BF" w:rsidP="002C4FC4">
      <w:pPr>
        <w:ind w:right="-1" w:firstLine="540"/>
        <w:jc w:val="both"/>
        <w:rPr>
          <w:sz w:val="22"/>
          <w:szCs w:val="22"/>
        </w:rPr>
      </w:pPr>
      <w:r w:rsidRPr="002C4FC4">
        <w:rPr>
          <w:sz w:val="22"/>
          <w:szCs w:val="22"/>
        </w:rPr>
        <w:t>3. - Nel caso di specie, il Provveditorato agli studi di Roma non ha ritenuto di conformarsi al prevalente orientamento giurisprudenziale, recepito dal Ministero della pubblica istruzione con la circolare n. 147 del 23 maggio 1980. Non ha neppure indicato le ragioni del suo diverso convincimento, limitandosi ad affermare che l'anno scolastico 1959-60 non poteva essere “valutato ai sensi della legge n. 576 del 1970, in quanto la professoressa ha insegnato per un numero di ore settimanali inferiore a 6”.</w:t>
      </w:r>
    </w:p>
    <w:p w:rsidR="000777BF" w:rsidRPr="002C4FC4" w:rsidRDefault="000777BF" w:rsidP="002C4FC4">
      <w:pPr>
        <w:ind w:right="-1" w:firstLine="539"/>
        <w:jc w:val="both"/>
        <w:rPr>
          <w:sz w:val="22"/>
          <w:szCs w:val="22"/>
        </w:rPr>
      </w:pPr>
      <w:r w:rsidRPr="002C4FC4">
        <w:rPr>
          <w:sz w:val="22"/>
          <w:szCs w:val="22"/>
        </w:rPr>
        <w:t>Come è stato già sottolineato nel precedente punto 1, il D.L. 19 giugno 1970 n. 370, convertito con modificazioni dalla L. 26 luglio 1970 n. 576, non stabilisce alcun minimo di ore settimanali di servizio, ma richiede ben altri requisiti (possesso del titolo di studio prescritto, qualifica non inferiore a “buono” o prestazioni di servizio “senza demerito” e durata del servizio stesso per un periodo che possa considerarsi anno scolastico intero in base alla normativa in vigore).</w:t>
      </w:r>
    </w:p>
    <w:p w:rsidR="000777BF" w:rsidRPr="002C4FC4" w:rsidRDefault="000777BF" w:rsidP="002C4FC4">
      <w:pPr>
        <w:tabs>
          <w:tab w:val="left" w:pos="9638"/>
        </w:tabs>
        <w:ind w:right="-1" w:firstLine="539"/>
        <w:jc w:val="both"/>
        <w:rPr>
          <w:sz w:val="22"/>
          <w:szCs w:val="22"/>
        </w:rPr>
      </w:pPr>
      <w:r w:rsidRPr="002C4FC4">
        <w:rPr>
          <w:sz w:val="22"/>
          <w:szCs w:val="22"/>
        </w:rPr>
        <w:t>In realtà, le pronunce che hanno ritenuto indispensabile il minimo di sei ore settimanali di insegnamento fanno tutte riferimento ad una diversa disposizione, contenuta al punto 3 della tabella allegata alla L. 2 agosto 1952 n. 1132, recante “criteri di valutazione dei titoli dei candidati ai concorsi a cattedre d'insegnamento negli istituti medi di istruzione e aumento della tassa di abilitazione”.</w:t>
      </w:r>
    </w:p>
    <w:p w:rsidR="000777BF" w:rsidRPr="00AE0F55" w:rsidRDefault="000777BF" w:rsidP="002C4FC4">
      <w:pPr>
        <w:tabs>
          <w:tab w:val="left" w:pos="9638"/>
        </w:tabs>
        <w:ind w:right="-1" w:firstLine="539"/>
        <w:jc w:val="both"/>
        <w:rPr>
          <w:b/>
          <w:i/>
          <w:sz w:val="22"/>
          <w:szCs w:val="22"/>
        </w:rPr>
      </w:pPr>
      <w:bookmarkStart w:id="0" w:name="servizio_6_ore_6_mesi"/>
      <w:bookmarkEnd w:id="0"/>
      <w:r w:rsidRPr="00AE0F55">
        <w:rPr>
          <w:b/>
          <w:i/>
          <w:sz w:val="22"/>
          <w:szCs w:val="22"/>
        </w:rPr>
        <w:t>La disposizione in esame si limita a stabilire che, nei suindicati concorsi a cattedre, “è valutabile l'effettivo insegnamento prestato per non meno di 6 mesi e di 6 ore settimanali”.</w:t>
      </w:r>
    </w:p>
    <w:p w:rsidR="000777BF" w:rsidRPr="002C4FC4" w:rsidRDefault="000777BF" w:rsidP="002C4FC4">
      <w:pPr>
        <w:ind w:right="-1" w:firstLine="539"/>
        <w:jc w:val="both"/>
        <w:rPr>
          <w:sz w:val="22"/>
          <w:szCs w:val="22"/>
        </w:rPr>
      </w:pPr>
      <w:r w:rsidRPr="00AE0F55">
        <w:rPr>
          <w:b/>
          <w:i/>
          <w:sz w:val="22"/>
          <w:szCs w:val="22"/>
        </w:rPr>
        <w:t>Ora, in base alle pronunce di segno negativo, dovrebbe essere ragionevole l'applicazione di tale requisito (per i concorsi) in sede di riconoscimento dei servizi non di ruolo</w:t>
      </w:r>
      <w:r w:rsidRPr="002C4FC4">
        <w:rPr>
          <w:sz w:val="22"/>
          <w:szCs w:val="22"/>
        </w:rPr>
        <w:t>.</w:t>
      </w:r>
    </w:p>
    <w:p w:rsidR="000777BF" w:rsidRPr="002C4FC4" w:rsidRDefault="000777BF" w:rsidP="002C4FC4">
      <w:pPr>
        <w:ind w:right="-1" w:firstLine="539"/>
        <w:jc w:val="both"/>
        <w:rPr>
          <w:sz w:val="22"/>
          <w:szCs w:val="22"/>
        </w:rPr>
      </w:pPr>
      <w:r w:rsidRPr="002C4FC4">
        <w:rPr>
          <w:sz w:val="22"/>
          <w:szCs w:val="22"/>
        </w:rPr>
        <w:t xml:space="preserve">Si legge, a tal riguardo, nel parere della Sezione seconda n. 1408/74 del 17 aprile 1978, che “non essendo concepibile che potesse essere valutato un servizio qualsiasi prestato, indipendentemente dalle ore di insegnamento, non si ritiene censurabile che il Ministero della p.i. abbia colmato tale lacuna col logico richiamo alla norma in materia di riconoscimento dei servizi </w:t>
      </w:r>
      <w:proofErr w:type="spellStart"/>
      <w:r w:rsidRPr="002C4FC4">
        <w:rPr>
          <w:i/>
          <w:iCs/>
          <w:sz w:val="22"/>
          <w:szCs w:val="22"/>
        </w:rPr>
        <w:t>pre</w:t>
      </w:r>
      <w:proofErr w:type="spellEnd"/>
      <w:r w:rsidRPr="002C4FC4">
        <w:rPr>
          <w:i/>
          <w:iCs/>
          <w:sz w:val="22"/>
          <w:szCs w:val="22"/>
        </w:rPr>
        <w:t xml:space="preserve"> ruolo</w:t>
      </w:r>
      <w:r w:rsidRPr="002C4FC4">
        <w:rPr>
          <w:sz w:val="22"/>
          <w:szCs w:val="22"/>
        </w:rPr>
        <w:t>, contenuta nella tabella di valutazione dei titoli per concorsi a cattedra, di cui alla L. 2 agosto 1950 n. 1132”.</w:t>
      </w:r>
    </w:p>
    <w:p w:rsidR="000777BF" w:rsidRPr="002C4FC4" w:rsidRDefault="000777BF" w:rsidP="002C4FC4">
      <w:pPr>
        <w:ind w:right="-1" w:firstLine="540"/>
        <w:jc w:val="both"/>
        <w:rPr>
          <w:sz w:val="22"/>
          <w:szCs w:val="22"/>
        </w:rPr>
      </w:pPr>
      <w:r w:rsidRPr="002C4FC4">
        <w:rPr>
          <w:sz w:val="22"/>
          <w:szCs w:val="22"/>
        </w:rPr>
        <w:t xml:space="preserve">Considerazioni analoghe figurano nella decisione della </w:t>
      </w:r>
      <w:proofErr w:type="spellStart"/>
      <w:r w:rsidRPr="002C4FC4">
        <w:rPr>
          <w:sz w:val="22"/>
          <w:szCs w:val="22"/>
        </w:rPr>
        <w:t>VI</w:t>
      </w:r>
      <w:proofErr w:type="spellEnd"/>
      <w:r w:rsidRPr="002C4FC4">
        <w:rPr>
          <w:sz w:val="22"/>
          <w:szCs w:val="22"/>
        </w:rPr>
        <w:t xml:space="preserve"> Sezione n. 385 del 7 luglio 1981, che ritiene corretta l'applicazione estensiva di detta disposizione, alla quale “evidentemente ha fatto capo il Ministero della pubblica istruzione nella circolare dell'11 febbraio 1971, interpretativa del D.L. 19 giugno 1970 n. 370”.</w:t>
      </w:r>
    </w:p>
    <w:p w:rsidR="000777BF" w:rsidRPr="002C4FC4" w:rsidRDefault="000777BF" w:rsidP="002C4FC4">
      <w:pPr>
        <w:ind w:right="-1" w:firstLine="540"/>
        <w:jc w:val="both"/>
        <w:rPr>
          <w:sz w:val="22"/>
          <w:szCs w:val="22"/>
        </w:rPr>
      </w:pPr>
      <w:r w:rsidRPr="002C4FC4">
        <w:rPr>
          <w:sz w:val="22"/>
          <w:szCs w:val="22"/>
        </w:rPr>
        <w:t xml:space="preserve">Trattasi di circolare successivamente modificata in senso completamente opposto. Infatti, con la circolare n. 147 del 23 maggio 1980, il Ministero della p.i., premesso che “con decisioni passate in giudicato numerosi Tribunali amministrativi regionali hanno dichiarato l'illegittimità della C.M. n. 52 dell'11 febbraio 1971 nella parte in cui non riconosce validi i servizi di insegnamento prestati per meno di 6 ore settimanali”, modificava la circolare n. 52 del 1971, “nel senso che i servizi </w:t>
      </w:r>
      <w:proofErr w:type="spellStart"/>
      <w:r w:rsidRPr="002C4FC4">
        <w:rPr>
          <w:i/>
          <w:iCs/>
          <w:sz w:val="22"/>
          <w:szCs w:val="22"/>
        </w:rPr>
        <w:t>pre</w:t>
      </w:r>
      <w:proofErr w:type="spellEnd"/>
      <w:r w:rsidRPr="002C4FC4">
        <w:rPr>
          <w:i/>
          <w:iCs/>
          <w:sz w:val="22"/>
          <w:szCs w:val="22"/>
        </w:rPr>
        <w:t xml:space="preserve"> ruolo</w:t>
      </w:r>
      <w:r w:rsidRPr="002C4FC4">
        <w:rPr>
          <w:sz w:val="22"/>
          <w:szCs w:val="22"/>
        </w:rPr>
        <w:t xml:space="preserve"> sono valutabili, qualora occorra l'altra condizione prescritta dal citato D.L. n. 370/70 (validità dell'anno) anche se prestati per meno di 6 ore settimanali di insegnamento”.</w:t>
      </w:r>
    </w:p>
    <w:p w:rsidR="000777BF" w:rsidRPr="002C4FC4" w:rsidRDefault="000777BF" w:rsidP="002C4FC4">
      <w:pPr>
        <w:ind w:right="-1" w:firstLine="540"/>
        <w:jc w:val="both"/>
        <w:rPr>
          <w:sz w:val="22"/>
          <w:szCs w:val="22"/>
        </w:rPr>
      </w:pPr>
      <w:r w:rsidRPr="002C4FC4">
        <w:rPr>
          <w:sz w:val="22"/>
          <w:szCs w:val="22"/>
        </w:rPr>
        <w:t>Quest'ultima circolare non viene affatto richiamata nel provvedimento impugnato in primo grado, mentre viene implicitamente disattesa nella sentenza impugnata in questa sede.</w:t>
      </w:r>
    </w:p>
    <w:p w:rsidR="000777BF" w:rsidRPr="002C4FC4" w:rsidRDefault="000777BF" w:rsidP="002C4FC4">
      <w:pPr>
        <w:ind w:right="-1" w:firstLine="539"/>
        <w:jc w:val="both"/>
        <w:rPr>
          <w:sz w:val="22"/>
          <w:szCs w:val="22"/>
        </w:rPr>
      </w:pPr>
      <w:r w:rsidRPr="002C4FC4">
        <w:rPr>
          <w:sz w:val="22"/>
          <w:szCs w:val="22"/>
        </w:rPr>
        <w:t xml:space="preserve">I primi giudici, in particolare, pur riconoscendo la “indubbia severità” della interpretazione di segno negativo, hanno tuttavia ritenuto quest'ultima “certamente preferibile a quella opposta, in base alla quale la mancanza di una previsione espressa al riguardo comporterebbe la piena </w:t>
      </w:r>
      <w:proofErr w:type="spellStart"/>
      <w:r w:rsidRPr="002C4FC4">
        <w:rPr>
          <w:sz w:val="22"/>
          <w:szCs w:val="22"/>
        </w:rPr>
        <w:t>valutabilità</w:t>
      </w:r>
      <w:proofErr w:type="spellEnd"/>
      <w:r w:rsidRPr="002C4FC4">
        <w:rPr>
          <w:sz w:val="22"/>
          <w:szCs w:val="22"/>
        </w:rPr>
        <w:t xml:space="preserve"> anche di un servizio svolto per una o due ore settimanali, come spesso avviene nella prassi scolastica in materia di supplenze”. Ed hanno evidenziato la “sproporzione tra un siffatto servizio e quello di 18 ore al quale è destinato a essere in sostanza equiparato per comprendere l'impossibilità logica di aderire a tale tesi”.</w:t>
      </w:r>
    </w:p>
    <w:p w:rsidR="000777BF" w:rsidRPr="002C4FC4" w:rsidRDefault="000777BF" w:rsidP="002C4FC4">
      <w:pPr>
        <w:tabs>
          <w:tab w:val="left" w:pos="9638"/>
        </w:tabs>
        <w:ind w:right="-1" w:firstLine="539"/>
        <w:jc w:val="both"/>
        <w:rPr>
          <w:sz w:val="22"/>
          <w:szCs w:val="22"/>
        </w:rPr>
      </w:pPr>
      <w:r w:rsidRPr="002C4FC4">
        <w:rPr>
          <w:sz w:val="22"/>
          <w:szCs w:val="22"/>
        </w:rPr>
        <w:t>Tale rigoroso indirizzo interpretativo presenta indubbiamente elementi di razionalità in una prospettiva di omogeneizzazione dei criteri valutativi, altrimenti differenziati, per il riconoscimento dei servizi non di ruolo a fini economici e di carriera, per la valutazione nei concorsi a cattedre e per gli incarichi annuali.</w:t>
      </w:r>
    </w:p>
    <w:p w:rsidR="000777BF" w:rsidRPr="002C4FC4" w:rsidRDefault="000777BF" w:rsidP="002C4FC4">
      <w:pPr>
        <w:ind w:right="-1" w:firstLine="539"/>
        <w:jc w:val="both"/>
        <w:rPr>
          <w:sz w:val="22"/>
          <w:szCs w:val="22"/>
        </w:rPr>
      </w:pPr>
      <w:r w:rsidRPr="002C4FC4">
        <w:rPr>
          <w:sz w:val="22"/>
          <w:szCs w:val="22"/>
        </w:rPr>
        <w:t>Tuttavia, non è compito dell'interprete farsi carico della uniformità di una disciplina che ha un solo riferimento comune (anno scolastico), dopo una ventennale prassi applicativa che ne ha cristallizzato i criteri interpretativi, dettati da numerose pronunce giurisprudenziali e recepiti dallo stesso Ministero della pubblica istruzione, che ha ritenuto di dover modificare, con apposita circolare (n. 147 del 1980) una precedente direttiva (circ. n. 52 del 1971).</w:t>
      </w:r>
    </w:p>
    <w:p w:rsidR="000777BF" w:rsidRPr="00AE0F55" w:rsidRDefault="000777BF" w:rsidP="002C4FC4">
      <w:pPr>
        <w:pStyle w:val="Rientrocorpodeltesto"/>
        <w:spacing w:before="0" w:beforeAutospacing="0" w:after="0" w:afterAutospacing="0"/>
        <w:ind w:right="-1" w:firstLine="539"/>
        <w:jc w:val="both"/>
        <w:rPr>
          <w:b/>
          <w:i/>
          <w:sz w:val="22"/>
          <w:szCs w:val="22"/>
        </w:rPr>
      </w:pPr>
      <w:bookmarkStart w:id="1" w:name="servizio_meno_di_6_ore"/>
      <w:bookmarkEnd w:id="1"/>
      <w:r w:rsidRPr="00AE0F55">
        <w:rPr>
          <w:b/>
          <w:i/>
          <w:sz w:val="22"/>
          <w:szCs w:val="22"/>
        </w:rPr>
        <w:t xml:space="preserve">Del resto, non si vede come sei ore settimanali di insegnamento (e non cinque o quattro) possano ritenersi in linea con i criteri di logicità e ragionevolezza necessari, secondo i primi giudici, a colmare la </w:t>
      </w:r>
      <w:r w:rsidRPr="00AE0F55">
        <w:rPr>
          <w:b/>
          <w:i/>
          <w:sz w:val="22"/>
          <w:szCs w:val="22"/>
        </w:rPr>
        <w:lastRenderedPageBreak/>
        <w:t>sproporzione esistente fra un ridotto numero di ore settimanali ed il normale orario di cattedra (18 ore settimanali).</w:t>
      </w:r>
    </w:p>
    <w:p w:rsidR="000777BF" w:rsidRPr="002C4FC4" w:rsidRDefault="000777BF" w:rsidP="002C4FC4">
      <w:pPr>
        <w:ind w:right="-1" w:firstLine="539"/>
        <w:jc w:val="both"/>
        <w:rPr>
          <w:sz w:val="22"/>
          <w:szCs w:val="22"/>
        </w:rPr>
      </w:pPr>
      <w:r w:rsidRPr="00AE0F55">
        <w:rPr>
          <w:b/>
          <w:i/>
          <w:sz w:val="22"/>
          <w:szCs w:val="22"/>
        </w:rPr>
        <w:t>Per giustificare il minimo di sei ore (che è pur sempre sproporzionato rispetto alle 18 ore) dovrebbe farsi riferimento ad una disposizione di ben altra natura, concernente la valutazione dei titoli dei candidati a concorsi a cattedre d'insegnamento negli istituti medi di istruzione</w:t>
      </w:r>
      <w:r w:rsidRPr="002C4FC4">
        <w:rPr>
          <w:sz w:val="22"/>
          <w:szCs w:val="22"/>
        </w:rPr>
        <w:t>.</w:t>
      </w:r>
    </w:p>
    <w:p w:rsidR="000777BF" w:rsidRPr="002C4FC4" w:rsidRDefault="000777BF" w:rsidP="002C4FC4">
      <w:pPr>
        <w:ind w:right="-1" w:firstLine="540"/>
        <w:jc w:val="both"/>
        <w:rPr>
          <w:sz w:val="22"/>
          <w:szCs w:val="22"/>
        </w:rPr>
      </w:pPr>
      <w:r w:rsidRPr="002C4FC4">
        <w:rPr>
          <w:sz w:val="22"/>
          <w:szCs w:val="22"/>
        </w:rPr>
        <w:t xml:space="preserve">Va quindi ribadito che le vigenti disposizioni legislative (D.L. n. 370, </w:t>
      </w:r>
      <w:proofErr w:type="spellStart"/>
      <w:r w:rsidRPr="002C4FC4">
        <w:rPr>
          <w:sz w:val="22"/>
          <w:szCs w:val="22"/>
        </w:rPr>
        <w:t>conv</w:t>
      </w:r>
      <w:proofErr w:type="spellEnd"/>
      <w:r w:rsidRPr="002C4FC4">
        <w:rPr>
          <w:sz w:val="22"/>
          <w:szCs w:val="22"/>
        </w:rPr>
        <w:t xml:space="preserve">. con mod. dalla legge n. 576 del 1970) non prescrivono, ai fini del riconoscimento dei pregressi servizi non di ruolo del personale insegnante, un minimo di ore settimanali di insegnamento. Conseguentemente, deve </w:t>
      </w:r>
      <w:proofErr w:type="spellStart"/>
      <w:r w:rsidRPr="002C4FC4">
        <w:rPr>
          <w:sz w:val="22"/>
          <w:szCs w:val="22"/>
        </w:rPr>
        <w:t>prescindersi</w:t>
      </w:r>
      <w:proofErr w:type="spellEnd"/>
      <w:r w:rsidRPr="002C4FC4">
        <w:rPr>
          <w:sz w:val="22"/>
          <w:szCs w:val="22"/>
        </w:rPr>
        <w:t xml:space="preserve"> da tale limite, proprio perché non previsto da alcuna fonte normativa.</w:t>
      </w:r>
    </w:p>
    <w:p w:rsidR="000777BF" w:rsidRPr="002C4FC4" w:rsidRDefault="000777BF" w:rsidP="002C4FC4">
      <w:pPr>
        <w:tabs>
          <w:tab w:val="left" w:pos="9638"/>
        </w:tabs>
        <w:ind w:right="-1" w:firstLine="540"/>
        <w:jc w:val="both"/>
        <w:rPr>
          <w:sz w:val="22"/>
          <w:szCs w:val="22"/>
        </w:rPr>
      </w:pPr>
      <w:r w:rsidRPr="002C4FC4">
        <w:rPr>
          <w:sz w:val="22"/>
          <w:szCs w:val="22"/>
        </w:rPr>
        <w:t>4. - L'appello è perciò fondato e va accolto. Per l'effetto, in riforma alla sentenza impugnata, va accolto il ricorso proposto in primo grado dalla prof.ssa Maria Luisa Rossi, con il conseguente annullamento, in parte qua, del decreto del Provveditorato agli studi di Roma in data 12 gennaio 1990.</w:t>
      </w:r>
    </w:p>
    <w:p w:rsidR="000777BF" w:rsidRPr="002C4FC4" w:rsidRDefault="000777BF" w:rsidP="002C4FC4">
      <w:pPr>
        <w:tabs>
          <w:tab w:val="left" w:pos="9638"/>
        </w:tabs>
        <w:ind w:right="-1" w:firstLine="540"/>
        <w:jc w:val="both"/>
        <w:rPr>
          <w:sz w:val="22"/>
          <w:szCs w:val="22"/>
        </w:rPr>
      </w:pPr>
      <w:r w:rsidRPr="002C4FC4">
        <w:rPr>
          <w:sz w:val="22"/>
          <w:szCs w:val="22"/>
        </w:rPr>
        <w:t>Sussistono giusti motivi per compensare integralmente fra le parti le spese e gli onorari dei due gradi del giudizio.</w:t>
      </w:r>
    </w:p>
    <w:p w:rsidR="000777BF" w:rsidRPr="002C4FC4" w:rsidRDefault="000777BF" w:rsidP="000777BF">
      <w:pPr>
        <w:spacing w:before="100" w:beforeAutospacing="1" w:after="100" w:afterAutospacing="1"/>
        <w:ind w:right="641"/>
        <w:jc w:val="center"/>
        <w:rPr>
          <w:sz w:val="22"/>
          <w:szCs w:val="22"/>
        </w:rPr>
      </w:pPr>
      <w:r w:rsidRPr="002C4FC4">
        <w:rPr>
          <w:sz w:val="22"/>
          <w:szCs w:val="22"/>
        </w:rPr>
        <w:t>P. Q. M.</w:t>
      </w:r>
    </w:p>
    <w:p w:rsidR="000777BF" w:rsidRPr="002C4FC4" w:rsidRDefault="000777BF" w:rsidP="000777BF">
      <w:pPr>
        <w:pStyle w:val="Rientrocorpodeltesto"/>
        <w:overflowPunct w:val="0"/>
        <w:ind w:right="-1" w:firstLine="851"/>
        <w:jc w:val="both"/>
        <w:textAlignment w:val="baseline"/>
        <w:rPr>
          <w:sz w:val="22"/>
          <w:szCs w:val="22"/>
        </w:rPr>
      </w:pPr>
      <w:r w:rsidRPr="002C4FC4">
        <w:rPr>
          <w:sz w:val="22"/>
          <w:szCs w:val="22"/>
        </w:rPr>
        <w:t>Il Consiglio di Stato in sede giurisdizionale (Adunanza Plenaria) accoglie l’appello n. 8 del 1996 e, per l’effetto, in riforma della sentenza impugnata, accoglie il ricorso proposto in primo grado dalla prof.ssa Maria Luisa ROSSI ed annulla, in parte qua, il decreto del Provveditorato agli studi di Roma in data 12 gennaio 1990.</w:t>
      </w:r>
    </w:p>
    <w:p w:rsidR="000777BF" w:rsidRPr="002C4FC4" w:rsidRDefault="000777BF" w:rsidP="000777BF">
      <w:pPr>
        <w:ind w:right="641" w:firstLine="539"/>
        <w:jc w:val="both"/>
        <w:rPr>
          <w:sz w:val="22"/>
          <w:szCs w:val="22"/>
        </w:rPr>
      </w:pPr>
      <w:r w:rsidRPr="002C4FC4">
        <w:rPr>
          <w:sz w:val="22"/>
          <w:szCs w:val="22"/>
        </w:rPr>
        <w:t>Compensa le spese e gli onorari del giudizio.</w:t>
      </w:r>
    </w:p>
    <w:p w:rsidR="000777BF" w:rsidRPr="002C4FC4" w:rsidRDefault="000777BF" w:rsidP="000777BF">
      <w:pPr>
        <w:ind w:right="641" w:firstLine="539"/>
        <w:jc w:val="both"/>
        <w:rPr>
          <w:sz w:val="22"/>
          <w:szCs w:val="22"/>
        </w:rPr>
      </w:pPr>
      <w:r w:rsidRPr="002C4FC4">
        <w:rPr>
          <w:sz w:val="22"/>
          <w:szCs w:val="22"/>
        </w:rPr>
        <w:t>Ordina che la presente decisione sia eseguita dall’Autorità amministrativa.</w:t>
      </w:r>
    </w:p>
    <w:p w:rsidR="002C4FC4" w:rsidRDefault="002C4FC4" w:rsidP="000777BF">
      <w:pPr>
        <w:ind w:right="641" w:firstLine="539"/>
        <w:jc w:val="both"/>
        <w:rPr>
          <w:sz w:val="22"/>
          <w:szCs w:val="22"/>
        </w:rPr>
      </w:pPr>
    </w:p>
    <w:p w:rsidR="000777BF" w:rsidRPr="002C4FC4" w:rsidRDefault="000777BF" w:rsidP="000777BF">
      <w:pPr>
        <w:ind w:right="641" w:firstLine="539"/>
        <w:jc w:val="both"/>
        <w:rPr>
          <w:sz w:val="22"/>
          <w:szCs w:val="22"/>
        </w:rPr>
      </w:pPr>
      <w:r w:rsidRPr="002C4FC4">
        <w:rPr>
          <w:sz w:val="22"/>
          <w:szCs w:val="22"/>
        </w:rPr>
        <w:t>Così deciso in Roma, il 1° luglio 1996, dal Consiglio di Stato in sede giurisdizionale (Adunanza Plenaria), in camera di consiglio, con l’intervento dei seguenti Magistrati:</w:t>
      </w:r>
    </w:p>
    <w:tbl>
      <w:tblPr>
        <w:tblW w:w="0" w:type="auto"/>
        <w:tblCellMar>
          <w:left w:w="0" w:type="dxa"/>
          <w:right w:w="0" w:type="dxa"/>
        </w:tblCellMar>
        <w:tblLook w:val="04A0"/>
      </w:tblPr>
      <w:tblGrid>
        <w:gridCol w:w="4605"/>
        <w:gridCol w:w="4605"/>
      </w:tblGrid>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Carlo Anelli  </w:t>
            </w:r>
            <w:r w:rsidRPr="002C4FC4">
              <w:rPr>
                <w:b/>
                <w:bCs/>
                <w:sz w:val="22"/>
                <w:szCs w:val="22"/>
              </w:rPr>
              <w:t xml:space="preserve">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Presidente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Lucio Venturini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Emidio Frascione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Giovanni Vacirca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Andrea Camera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Stefano Baccarini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Sergio Santoro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Bartolomeo Perricone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2C4FC4">
            <w:pPr>
              <w:spacing w:before="100" w:beforeAutospacing="1" w:after="100" w:afterAutospacing="1"/>
              <w:jc w:val="both"/>
            </w:pPr>
            <w:r w:rsidRPr="002C4FC4">
              <w:rPr>
                <w:caps/>
                <w:sz w:val="22"/>
                <w:szCs w:val="22"/>
              </w:rPr>
              <w:t>Salvatore</w:t>
            </w:r>
            <w:r w:rsidR="002C4FC4">
              <w:rPr>
                <w:caps/>
                <w:sz w:val="22"/>
                <w:szCs w:val="22"/>
              </w:rPr>
              <w:t xml:space="preserve">  </w:t>
            </w:r>
            <w:r w:rsidR="002C4FC4" w:rsidRPr="002C4FC4">
              <w:rPr>
                <w:caps/>
                <w:sz w:val="22"/>
                <w:szCs w:val="22"/>
              </w:rPr>
              <w:t>T</w:t>
            </w:r>
            <w:r w:rsidRPr="002C4FC4">
              <w:rPr>
                <w:caps/>
                <w:sz w:val="22"/>
                <w:szCs w:val="22"/>
              </w:rPr>
              <w:t>umbiolo      </w:t>
            </w:r>
            <w:r w:rsidR="002C4FC4" w:rsidRPr="002C4FC4">
              <w:rPr>
                <w:caps/>
                <w:sz w:val="22"/>
                <w:szCs w:val="22"/>
              </w:rPr>
              <w:t xml:space="preserve"> </w:t>
            </w:r>
            <w:r w:rsidRPr="002C4FC4">
              <w:rPr>
                <w:caps/>
                <w:sz w:val="22"/>
                <w:szCs w:val="22"/>
              </w:rPr>
              <w:t xml:space="preserve">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 Estensore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Klaus Dubis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Raffaele Carboni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Calogero Piscitello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 xml:space="preserve">Filippo Patroni Griffi                              </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Consigliere</w:t>
            </w:r>
          </w:p>
        </w:tc>
      </w:tr>
      <w:tr w:rsidR="000777BF" w:rsidRPr="002C4FC4" w:rsidTr="00932FFF">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Pier Maria Costarelli</w:t>
            </w:r>
          </w:p>
        </w:tc>
        <w:tc>
          <w:tcPr>
            <w:tcW w:w="4605" w:type="dxa"/>
            <w:tcMar>
              <w:top w:w="0" w:type="dxa"/>
              <w:left w:w="70" w:type="dxa"/>
              <w:bottom w:w="0" w:type="dxa"/>
              <w:right w:w="70" w:type="dxa"/>
            </w:tcMar>
            <w:hideMark/>
          </w:tcPr>
          <w:p w:rsidR="000777BF" w:rsidRPr="002C4FC4" w:rsidRDefault="000777BF" w:rsidP="000777BF">
            <w:pPr>
              <w:spacing w:before="100" w:beforeAutospacing="1" w:after="100" w:afterAutospacing="1"/>
              <w:jc w:val="both"/>
            </w:pPr>
            <w:r w:rsidRPr="002C4FC4">
              <w:rPr>
                <w:caps/>
                <w:sz w:val="22"/>
                <w:szCs w:val="22"/>
              </w:rPr>
              <w:t>Segretario</w:t>
            </w:r>
          </w:p>
        </w:tc>
      </w:tr>
    </w:tbl>
    <w:p w:rsidR="00396C02" w:rsidRPr="002C4FC4" w:rsidRDefault="00396C02" w:rsidP="000777BF">
      <w:pPr>
        <w:jc w:val="both"/>
        <w:rPr>
          <w:sz w:val="22"/>
          <w:szCs w:val="22"/>
        </w:rPr>
      </w:pPr>
    </w:p>
    <w:sectPr w:rsidR="00396C02" w:rsidRPr="002C4FC4" w:rsidSect="00396C0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36" w:rsidRDefault="00680E36" w:rsidP="002C4FC4">
      <w:r>
        <w:separator/>
      </w:r>
    </w:p>
  </w:endnote>
  <w:endnote w:type="continuationSeparator" w:id="1">
    <w:p w:rsidR="00680E36" w:rsidRDefault="00680E36" w:rsidP="002C4F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C4" w:rsidRDefault="002C4FC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3297"/>
      <w:docPartObj>
        <w:docPartGallery w:val="Page Numbers (Bottom of Page)"/>
        <w:docPartUnique/>
      </w:docPartObj>
    </w:sdtPr>
    <w:sdtContent>
      <w:p w:rsidR="002C4FC4" w:rsidRDefault="00ED52AF">
        <w:pPr>
          <w:pStyle w:val="Pidipagina"/>
          <w:jc w:val="center"/>
        </w:pPr>
        <w:fldSimple w:instr=" PAGE   \* MERGEFORMAT ">
          <w:r w:rsidR="00A44D14">
            <w:rPr>
              <w:noProof/>
            </w:rPr>
            <w:t>4</w:t>
          </w:r>
        </w:fldSimple>
      </w:p>
    </w:sdtContent>
  </w:sdt>
  <w:p w:rsidR="002C4FC4" w:rsidRDefault="002C4FC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C4" w:rsidRDefault="002C4FC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36" w:rsidRDefault="00680E36" w:rsidP="002C4FC4">
      <w:r>
        <w:separator/>
      </w:r>
    </w:p>
  </w:footnote>
  <w:footnote w:type="continuationSeparator" w:id="1">
    <w:p w:rsidR="00680E36" w:rsidRDefault="00680E36" w:rsidP="002C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C4" w:rsidRDefault="002C4FC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C4" w:rsidRDefault="002C4FC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C4" w:rsidRDefault="002C4FC4">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0777BF"/>
    <w:rsid w:val="00005D6D"/>
    <w:rsid w:val="00033B26"/>
    <w:rsid w:val="000777BF"/>
    <w:rsid w:val="000A003E"/>
    <w:rsid w:val="000D5747"/>
    <w:rsid w:val="000E098B"/>
    <w:rsid w:val="000E1A86"/>
    <w:rsid w:val="00105C66"/>
    <w:rsid w:val="001E2A52"/>
    <w:rsid w:val="0020321D"/>
    <w:rsid w:val="002154DB"/>
    <w:rsid w:val="0022700C"/>
    <w:rsid w:val="00256668"/>
    <w:rsid w:val="00282C4B"/>
    <w:rsid w:val="002C4FC4"/>
    <w:rsid w:val="002E646A"/>
    <w:rsid w:val="00396C02"/>
    <w:rsid w:val="004279AB"/>
    <w:rsid w:val="004C06AC"/>
    <w:rsid w:val="004E2EAE"/>
    <w:rsid w:val="005511F1"/>
    <w:rsid w:val="00560933"/>
    <w:rsid w:val="005C5A98"/>
    <w:rsid w:val="00654F39"/>
    <w:rsid w:val="00680E36"/>
    <w:rsid w:val="006B3648"/>
    <w:rsid w:val="007B14C6"/>
    <w:rsid w:val="007C3639"/>
    <w:rsid w:val="007D0205"/>
    <w:rsid w:val="00845850"/>
    <w:rsid w:val="008B749B"/>
    <w:rsid w:val="009131BF"/>
    <w:rsid w:val="00A44D14"/>
    <w:rsid w:val="00A9722D"/>
    <w:rsid w:val="00AE0F55"/>
    <w:rsid w:val="00B11B81"/>
    <w:rsid w:val="00B41021"/>
    <w:rsid w:val="00D85BF0"/>
    <w:rsid w:val="00DB2EC6"/>
    <w:rsid w:val="00E00BCD"/>
    <w:rsid w:val="00E052B4"/>
    <w:rsid w:val="00EA50EF"/>
    <w:rsid w:val="00EB0E5F"/>
    <w:rsid w:val="00ED52AF"/>
    <w:rsid w:val="00F61B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77BF"/>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uiPriority w:val="99"/>
    <w:semiHidden/>
    <w:unhideWhenUsed/>
    <w:rsid w:val="000777BF"/>
    <w:pPr>
      <w:spacing w:before="100" w:beforeAutospacing="1" w:after="100" w:afterAutospacing="1"/>
    </w:pPr>
  </w:style>
  <w:style w:type="paragraph" w:styleId="Corpodeltesto">
    <w:name w:val="Body Text"/>
    <w:basedOn w:val="Normale"/>
    <w:link w:val="CorpodeltestoCarattere"/>
    <w:uiPriority w:val="99"/>
    <w:semiHidden/>
    <w:unhideWhenUsed/>
    <w:rsid w:val="000777BF"/>
    <w:pPr>
      <w:spacing w:before="100" w:beforeAutospacing="1" w:after="100" w:afterAutospacing="1"/>
    </w:pPr>
  </w:style>
  <w:style w:type="character" w:customStyle="1" w:styleId="CorpodeltestoCarattere">
    <w:name w:val="Corpo del testo Carattere"/>
    <w:basedOn w:val="Carpredefinitoparagrafo"/>
    <w:link w:val="Corpodeltesto"/>
    <w:uiPriority w:val="99"/>
    <w:semiHidden/>
    <w:rsid w:val="000777BF"/>
    <w:rPr>
      <w:rFonts w:ascii="Times New Roman" w:eastAsiaTheme="minorEastAsia"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0777BF"/>
    <w:pPr>
      <w:spacing w:before="100" w:beforeAutospacing="1" w:after="100" w:afterAutospacing="1"/>
    </w:pPr>
  </w:style>
  <w:style w:type="character" w:customStyle="1" w:styleId="RientrocorpodeltestoCarattere">
    <w:name w:val="Rientro corpo del testo Carattere"/>
    <w:basedOn w:val="Carpredefinitoparagrafo"/>
    <w:link w:val="Rientrocorpodeltesto"/>
    <w:uiPriority w:val="99"/>
    <w:semiHidden/>
    <w:rsid w:val="000777BF"/>
    <w:rPr>
      <w:rFonts w:ascii="Times New Roman" w:eastAsiaTheme="minorEastAsia" w:hAnsi="Times New Roman" w:cs="Times New Roman"/>
      <w:sz w:val="24"/>
      <w:szCs w:val="24"/>
      <w:lang w:eastAsia="it-IT"/>
    </w:rPr>
  </w:style>
  <w:style w:type="paragraph" w:styleId="Intestazione">
    <w:name w:val="header"/>
    <w:basedOn w:val="Normale"/>
    <w:link w:val="IntestazioneCarattere"/>
    <w:uiPriority w:val="99"/>
    <w:semiHidden/>
    <w:unhideWhenUsed/>
    <w:rsid w:val="002C4FC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C4FC4"/>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2C4FC4"/>
    <w:pPr>
      <w:tabs>
        <w:tab w:val="center" w:pos="4819"/>
        <w:tab w:val="right" w:pos="9638"/>
      </w:tabs>
    </w:pPr>
  </w:style>
  <w:style w:type="character" w:customStyle="1" w:styleId="PidipaginaCarattere">
    <w:name w:val="Piè di pagina Carattere"/>
    <w:basedOn w:val="Carpredefinitoparagrafo"/>
    <w:link w:val="Pidipagina"/>
    <w:uiPriority w:val="99"/>
    <w:rsid w:val="002C4FC4"/>
    <w:rPr>
      <w:rFonts w:ascii="Times New Roman" w:eastAsiaTheme="minorEastAsia"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4147-2CB0-4A70-AA52-D83B9D97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2417</Words>
  <Characters>13782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FRee</cp:lastModifiedBy>
  <cp:revision>5</cp:revision>
  <dcterms:created xsi:type="dcterms:W3CDTF">2013-02-15T19:01:00Z</dcterms:created>
  <dcterms:modified xsi:type="dcterms:W3CDTF">2013-02-19T13:18:00Z</dcterms:modified>
</cp:coreProperties>
</file>